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948E" w14:textId="77777777" w:rsidR="005415D2" w:rsidRDefault="00083003">
      <w:r>
        <w:rPr>
          <w:noProof/>
        </w:rPr>
        <w:drawing>
          <wp:anchor distT="0" distB="0" distL="114300" distR="114300" simplePos="0" relativeHeight="251657728" behindDoc="1" locked="0" layoutInCell="1" allowOverlap="1" wp14:anchorId="7572FDC7" wp14:editId="577EA803">
            <wp:simplePos x="0" y="0"/>
            <wp:positionH relativeFrom="column">
              <wp:posOffset>4167505</wp:posOffset>
            </wp:positionH>
            <wp:positionV relativeFrom="paragraph">
              <wp:posOffset>-320675</wp:posOffset>
            </wp:positionV>
            <wp:extent cx="1945640" cy="1176020"/>
            <wp:effectExtent l="0" t="0" r="16510" b="508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45640" cy="1176020"/>
                    </a:xfrm>
                    <a:prstGeom prst="rect">
                      <a:avLst/>
                    </a:prstGeom>
                    <a:noFill/>
                  </pic:spPr>
                </pic:pic>
              </a:graphicData>
            </a:graphic>
            <wp14:sizeRelH relativeFrom="page">
              <wp14:pctWidth>0</wp14:pctWidth>
            </wp14:sizeRelH>
            <wp14:sizeRelV relativeFrom="page">
              <wp14:pctHeight>0</wp14:pctHeight>
            </wp14:sizeRelV>
          </wp:anchor>
        </w:drawing>
      </w:r>
    </w:p>
    <w:p w14:paraId="0FC5E042" w14:textId="77777777" w:rsidR="005415D2" w:rsidRDefault="005415D2"/>
    <w:p w14:paraId="35390132" w14:textId="77777777" w:rsidR="005415D2" w:rsidRDefault="005415D2"/>
    <w:p w14:paraId="66EF9E00" w14:textId="77777777" w:rsidR="005415D2" w:rsidRDefault="005415D2"/>
    <w:p w14:paraId="118D40BE" w14:textId="77777777" w:rsidR="005415D2" w:rsidRDefault="005415D2"/>
    <w:p w14:paraId="72F96B39" w14:textId="77777777" w:rsidR="005415D2" w:rsidRDefault="005415D2"/>
    <w:p w14:paraId="65935E5E" w14:textId="77777777" w:rsidR="005415D2" w:rsidRDefault="005415D2"/>
    <w:p w14:paraId="6198354E" w14:textId="77777777" w:rsidR="005415D2" w:rsidRDefault="005415D2"/>
    <w:p w14:paraId="2741E687" w14:textId="77777777" w:rsidR="005415D2" w:rsidRDefault="005415D2"/>
    <w:p w14:paraId="26357FD1" w14:textId="77777777" w:rsidR="005415D2" w:rsidRPr="00AF3063" w:rsidRDefault="00083003" w:rsidP="00E659A8">
      <w:pPr>
        <w:pStyle w:val="TOCHeading"/>
        <w:spacing w:after="0"/>
        <w:rPr>
          <w:rFonts w:ascii="Montserrat" w:hAnsi="Montserrat"/>
          <w:b/>
          <w:bCs w:val="0"/>
          <w:color w:val="006890"/>
        </w:rPr>
      </w:pPr>
      <w:r w:rsidRPr="00AF3063">
        <w:rPr>
          <w:rFonts w:ascii="Montserrat" w:hAnsi="Montserrat"/>
          <w:b/>
          <w:bCs w:val="0"/>
          <w:color w:val="006890"/>
        </w:rPr>
        <w:t xml:space="preserve">Supply Base Report: </w:t>
      </w:r>
    </w:p>
    <w:p w14:paraId="6D75464C" w14:textId="77777777" w:rsidR="005415D2" w:rsidRPr="00AF3063" w:rsidRDefault="00083003">
      <w:pPr>
        <w:pStyle w:val="TOCHeading"/>
        <w:rPr>
          <w:rFonts w:ascii="Montserrat" w:hAnsi="Montserrat"/>
          <w:b/>
          <w:bCs w:val="0"/>
          <w:color w:val="006890"/>
        </w:rPr>
      </w:pPr>
      <w:r w:rsidRPr="00AF3063">
        <w:rPr>
          <w:rFonts w:ascii="Montserrat" w:hAnsi="Montserrat"/>
          <w:b/>
          <w:bCs w:val="0"/>
          <w:color w:val="006890"/>
        </w:rPr>
        <w:t>PATA SIA</w:t>
      </w:r>
    </w:p>
    <w:p w14:paraId="4716B57D" w14:textId="77777777" w:rsidR="005415D2" w:rsidRDefault="005415D2">
      <w:pPr>
        <w:pStyle w:val="TOCHeading"/>
        <w:rPr>
          <w:rFonts w:ascii="Montserrat" w:hAnsi="Montserrat"/>
          <w:color w:val="006890"/>
          <w:sz w:val="32"/>
          <w:szCs w:val="32"/>
        </w:rPr>
      </w:pPr>
    </w:p>
    <w:p w14:paraId="4D3D5B32" w14:textId="77777777" w:rsidR="005415D2" w:rsidRDefault="005415D2">
      <w:pPr>
        <w:rPr>
          <w:color w:val="808080" w:themeColor="background1" w:themeShade="80"/>
          <w:sz w:val="32"/>
          <w:szCs w:val="32"/>
          <w:lang w:val="en-US"/>
        </w:rPr>
      </w:pPr>
    </w:p>
    <w:p w14:paraId="45E05E63" w14:textId="77777777" w:rsidR="005415D2" w:rsidRPr="00AF3063" w:rsidRDefault="00083003">
      <w:pPr>
        <w:pStyle w:val="TOCHeading"/>
        <w:rPr>
          <w:rFonts w:ascii="Montserrat" w:hAnsi="Montserrat"/>
          <w:color w:val="006890"/>
          <w:sz w:val="36"/>
          <w:szCs w:val="36"/>
        </w:rPr>
      </w:pPr>
      <w:r w:rsidRPr="00AF3063">
        <w:rPr>
          <w:rFonts w:ascii="Montserrat" w:hAnsi="Montserrat"/>
          <w:color w:val="006890"/>
          <w:sz w:val="36"/>
          <w:szCs w:val="36"/>
        </w:rPr>
        <w:t>Re-assessment</w:t>
      </w:r>
    </w:p>
    <w:p w14:paraId="4B91D1E8" w14:textId="77777777" w:rsidR="005415D2" w:rsidRDefault="005415D2">
      <w:pPr>
        <w:rPr>
          <w:color w:val="808080" w:themeColor="background1" w:themeShade="80"/>
          <w:sz w:val="32"/>
          <w:szCs w:val="32"/>
          <w:lang w:val="en-US"/>
        </w:rPr>
      </w:pPr>
    </w:p>
    <w:p w14:paraId="342E983C" w14:textId="77777777" w:rsidR="005415D2" w:rsidRDefault="005415D2">
      <w:pPr>
        <w:rPr>
          <w:color w:val="808080" w:themeColor="background1" w:themeShade="80"/>
          <w:sz w:val="32"/>
          <w:szCs w:val="32"/>
          <w:lang w:val="en-US"/>
        </w:rPr>
      </w:pPr>
    </w:p>
    <w:p w14:paraId="7A92FF4C" w14:textId="77777777" w:rsidR="005415D2" w:rsidRDefault="005415D2">
      <w:pPr>
        <w:rPr>
          <w:color w:val="808080" w:themeColor="background1" w:themeShade="80"/>
          <w:sz w:val="32"/>
          <w:szCs w:val="32"/>
          <w:lang w:val="en-US"/>
        </w:rPr>
      </w:pPr>
    </w:p>
    <w:p w14:paraId="74590E14" w14:textId="77777777" w:rsidR="005415D2" w:rsidRPr="00AF3063" w:rsidRDefault="00083003">
      <w:pPr>
        <w:rPr>
          <w:rFonts w:ascii="Montserrat Light" w:hAnsi="Montserrat Light"/>
          <w:color w:val="006890"/>
          <w:lang w:val="en-US"/>
        </w:rPr>
      </w:pPr>
      <w:r w:rsidRPr="00AF3063">
        <w:rPr>
          <w:rFonts w:ascii="Montserrat Light" w:hAnsi="Montserrat Light"/>
          <w:color w:val="006890"/>
          <w:lang w:val="en-US"/>
        </w:rPr>
        <w:t>www.sbp-cert.org</w:t>
      </w:r>
    </w:p>
    <w:p w14:paraId="177DFEB1" w14:textId="77777777" w:rsidR="005415D2" w:rsidRDefault="005415D2">
      <w:pPr>
        <w:spacing w:after="0" w:line="240" w:lineRule="auto"/>
        <w:rPr>
          <w:lang w:val="en-US"/>
        </w:rPr>
      </w:pPr>
    </w:p>
    <w:p w14:paraId="469A2134" w14:textId="276E3AFD" w:rsidR="005415D2" w:rsidRPr="005B5CFF" w:rsidRDefault="00083003">
      <w:pPr>
        <w:spacing w:after="0" w:line="240" w:lineRule="auto"/>
        <w:rPr>
          <w:rFonts w:ascii="Times New Roman" w:hAnsi="Times New Roman" w:cs="Times New Roman"/>
          <w:sz w:val="24"/>
          <w:szCs w:val="24"/>
          <w:lang w:val="en-US" w:eastAsia="nl-NL"/>
        </w:rPr>
      </w:pPr>
      <w:r>
        <w:rPr>
          <w:noProof/>
        </w:rPr>
        <w:drawing>
          <wp:anchor distT="0" distB="0" distL="114300" distR="114300" simplePos="0" relativeHeight="251658752" behindDoc="1" locked="0" layoutInCell="1" allowOverlap="1" wp14:anchorId="31006A82" wp14:editId="7802DAE2">
            <wp:simplePos x="0" y="0"/>
            <wp:positionH relativeFrom="page">
              <wp:align>left</wp:align>
            </wp:positionH>
            <wp:positionV relativeFrom="paragraph">
              <wp:posOffset>1325245</wp:posOffset>
            </wp:positionV>
            <wp:extent cx="7620000" cy="149860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620000" cy="1498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eastAsia="nl-NL"/>
        </w:rPr>
        <w:br w:type="page"/>
      </w:r>
      <w:r>
        <w:rPr>
          <w:rFonts w:ascii="Times New Roman" w:hAnsi="Times New Roman" w:cs="Times New Roman"/>
          <w:noProof/>
          <w:sz w:val="24"/>
          <w:szCs w:val="24"/>
          <w:lang w:val="nl-NL" w:eastAsia="nl-NL"/>
        </w:rPr>
        <w:lastRenderedPageBreak/>
        <mc:AlternateContent>
          <mc:Choice Requires="wps">
            <w:drawing>
              <wp:anchor distT="0" distB="0" distL="114300" distR="114300" simplePos="0" relativeHeight="251658241" behindDoc="0" locked="0" layoutInCell="1" allowOverlap="1" wp14:anchorId="20941241" wp14:editId="6B8D0EB8">
                <wp:simplePos x="0" y="0"/>
                <wp:positionH relativeFrom="page">
                  <wp:posOffset>971550</wp:posOffset>
                </wp:positionH>
                <wp:positionV relativeFrom="page">
                  <wp:posOffset>3933825</wp:posOffset>
                </wp:positionV>
                <wp:extent cx="5600700" cy="5715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wps:spPr>
                      <wps:txbx>
                        <w:txbxContent>
                          <w:p w14:paraId="1D7A9125" w14:textId="77777777" w:rsidR="005415D2" w:rsidRPr="00AF3063" w:rsidRDefault="00083003">
                            <w:pPr>
                              <w:spacing w:after="0" w:line="240" w:lineRule="auto"/>
                              <w:rPr>
                                <w:rFonts w:ascii="Montserrat ExtraBold" w:hAnsi="Montserrat ExtraBold"/>
                                <w:b/>
                                <w:color w:val="006890"/>
                                <w:sz w:val="22"/>
                                <w:szCs w:val="22"/>
                                <w:lang w:val="en-US"/>
                              </w:rPr>
                            </w:pPr>
                            <w:r w:rsidRPr="00AF3063">
                              <w:rPr>
                                <w:rFonts w:ascii="Montserrat ExtraBold" w:eastAsiaTheme="majorEastAsia" w:hAnsi="Montserrat ExtraBold" w:cstheme="majorBidi"/>
                                <w:color w:val="006890"/>
                                <w:spacing w:val="5"/>
                                <w:kern w:val="28"/>
                                <w:sz w:val="36"/>
                                <w:szCs w:val="36"/>
                                <w:lang w:val="en-US"/>
                              </w:rPr>
                              <w:t>Completed in accordance with the Supply Base Report Template Version 1.4</w:t>
                            </w:r>
                          </w:p>
                          <w:p w14:paraId="021F0C4A" w14:textId="77777777" w:rsidR="005415D2" w:rsidRDefault="005415D2">
                            <w:pPr>
                              <w:rPr>
                                <w:b/>
                                <w:i/>
                                <w:color w:val="006691"/>
                                <w:sz w:val="24"/>
                                <w:szCs w:val="24"/>
                                <w:lang w:val="en-US"/>
                              </w:rPr>
                            </w:pPr>
                          </w:p>
                          <w:p w14:paraId="7C27302C" w14:textId="77777777" w:rsidR="005415D2" w:rsidRDefault="005415D2">
                            <w:pPr>
                              <w:rPr>
                                <w:lang w:val="en-US"/>
                              </w:rPr>
                            </w:pPr>
                          </w:p>
                          <w:p w14:paraId="066FF829" w14:textId="77777777" w:rsidR="005415D2" w:rsidRDefault="00083003">
                            <w:pPr>
                              <w:rPr>
                                <w:lang w:val="en-US"/>
                              </w:rPr>
                            </w:pPr>
                            <w:r>
                              <w:rPr>
                                <w:i/>
                                <w:lang w:val="en-US"/>
                              </w:rPr>
                              <w:t xml:space="preserve">For further information on the SBP Framework and to view the full set of documentation see </w:t>
                            </w:r>
                            <w:hyperlink r:id="rId7" w:history="1">
                              <w:r>
                                <w:rPr>
                                  <w:rStyle w:val="Hyperlink"/>
                                  <w:i/>
                                  <w:color w:val="006890"/>
                                  <w:lang w:val="en-US"/>
                                </w:rPr>
                                <w:t>www.sbp-cert.org</w:t>
                              </w:r>
                            </w:hyperlink>
                          </w:p>
                          <w:p w14:paraId="108FDDCB" w14:textId="77777777" w:rsidR="005415D2" w:rsidRDefault="005415D2">
                            <w:pPr>
                              <w:rPr>
                                <w:i/>
                                <w:lang w:val="en-US"/>
                              </w:rPr>
                            </w:pPr>
                          </w:p>
                          <w:p w14:paraId="7A3C5E41" w14:textId="77777777" w:rsidR="005415D2" w:rsidRPr="00AF3063" w:rsidRDefault="00083003">
                            <w:pPr>
                              <w:rPr>
                                <w:rFonts w:cs="Arial"/>
                                <w:i/>
                                <w:lang w:val="en-US"/>
                              </w:rPr>
                            </w:pPr>
                            <w:r w:rsidRPr="00AF3063">
                              <w:rPr>
                                <w:rFonts w:cs="Arial"/>
                                <w:i/>
                                <w:lang w:val="en-US"/>
                              </w:rPr>
                              <w:t>Document history</w:t>
                            </w:r>
                          </w:p>
                          <w:p w14:paraId="78F8D593" w14:textId="77777777" w:rsidR="005415D2" w:rsidRPr="00AF3063" w:rsidRDefault="00083003">
                            <w:pPr>
                              <w:rPr>
                                <w:rFonts w:cs="Arial"/>
                                <w:i/>
                                <w:lang w:val="en-US"/>
                              </w:rPr>
                            </w:pPr>
                            <w:r w:rsidRPr="00AF3063">
                              <w:rPr>
                                <w:rFonts w:cs="Arial"/>
                                <w:i/>
                                <w:lang w:val="en-US"/>
                              </w:rPr>
                              <w:t>Version 1.0: published 26 March 2015</w:t>
                            </w:r>
                          </w:p>
                          <w:p w14:paraId="7D26733E" w14:textId="77777777" w:rsidR="005415D2" w:rsidRPr="00AF3063" w:rsidRDefault="00083003">
                            <w:pPr>
                              <w:rPr>
                                <w:rFonts w:cs="Arial"/>
                                <w:i/>
                                <w:lang w:val="en-US"/>
                              </w:rPr>
                            </w:pPr>
                            <w:r w:rsidRPr="00AF3063">
                              <w:rPr>
                                <w:rFonts w:cs="Arial"/>
                                <w:i/>
                                <w:lang w:val="en-US"/>
                              </w:rPr>
                              <w:t>Version 1.1 published 22 February 2016</w:t>
                            </w:r>
                          </w:p>
                          <w:p w14:paraId="472001B1" w14:textId="77777777" w:rsidR="005415D2" w:rsidRPr="00AF3063" w:rsidRDefault="00083003">
                            <w:pPr>
                              <w:rPr>
                                <w:rFonts w:cs="Arial"/>
                                <w:i/>
                                <w:lang w:val="en-US"/>
                              </w:rPr>
                            </w:pPr>
                            <w:r w:rsidRPr="00AF3063">
                              <w:rPr>
                                <w:rFonts w:cs="Arial"/>
                                <w:i/>
                                <w:lang w:val="en-US"/>
                              </w:rPr>
                              <w:t>Version 1.2 published 23 June 2016</w:t>
                            </w:r>
                          </w:p>
                          <w:p w14:paraId="31EDB9FE" w14:textId="77777777" w:rsidR="005415D2" w:rsidRPr="00AF3063" w:rsidRDefault="00083003">
                            <w:pPr>
                              <w:rPr>
                                <w:rFonts w:cs="Arial"/>
                                <w:i/>
                                <w:lang w:val="en-US"/>
                              </w:rPr>
                            </w:pPr>
                            <w:r w:rsidRPr="00AF3063">
                              <w:rPr>
                                <w:rFonts w:cs="Arial"/>
                                <w:i/>
                                <w:lang w:val="en-US"/>
                              </w:rPr>
                              <w:t>Version 1.3 published 14 January 2019; re-published 3 April 2020</w:t>
                            </w:r>
                          </w:p>
                          <w:p w14:paraId="0805252F" w14:textId="77777777" w:rsidR="005415D2" w:rsidRPr="00AF3063" w:rsidRDefault="00083003">
                            <w:pPr>
                              <w:rPr>
                                <w:rFonts w:cs="Arial"/>
                                <w:i/>
                                <w:lang w:val="en-US"/>
                              </w:rPr>
                            </w:pPr>
                            <w:r w:rsidRPr="00AF3063">
                              <w:rPr>
                                <w:rFonts w:cs="Arial"/>
                                <w:i/>
                                <w:lang w:val="en-US"/>
                              </w:rPr>
                              <w:t>Version 1.4 published 22 October 2020</w:t>
                            </w:r>
                          </w:p>
                          <w:p w14:paraId="487042BB" w14:textId="77777777" w:rsidR="005415D2" w:rsidRDefault="005415D2">
                            <w:pPr>
                              <w:rPr>
                                <w:i/>
                                <w:lang w:val="en-US"/>
                              </w:rPr>
                            </w:pPr>
                          </w:p>
                          <w:p w14:paraId="15BCE4CA" w14:textId="77777777" w:rsidR="005415D2" w:rsidRDefault="005415D2">
                            <w:pPr>
                              <w:rPr>
                                <w:i/>
                                <w:lang w:val="en-US"/>
                              </w:rPr>
                            </w:pPr>
                          </w:p>
                          <w:p w14:paraId="0AA1DF98" w14:textId="77777777" w:rsidR="005415D2" w:rsidRPr="00AF3063" w:rsidRDefault="00083003">
                            <w:pPr>
                              <w:rPr>
                                <w:rFonts w:cs="Arial"/>
                                <w:iCs/>
                                <w:lang w:val="en-US"/>
                              </w:rPr>
                            </w:pPr>
                            <w:r w:rsidRPr="00AF3063">
                              <w:rPr>
                                <w:rFonts w:cs="Arial"/>
                                <w:iCs/>
                                <w:lang w:val="en-US"/>
                              </w:rPr>
                              <w:t>© Copyright Sustainable Biomass Program Limited 2020</w:t>
                            </w:r>
                          </w:p>
                          <w:p w14:paraId="7F0B8542" w14:textId="77777777" w:rsidR="005415D2" w:rsidRDefault="005415D2">
                            <w:pPr>
                              <w:rPr>
                                <w:i/>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41241" id="_x0000_t202" coordsize="21600,21600" o:spt="202" path="m,l,21600r21600,l21600,xe">
                <v:stroke joinstyle="miter"/>
                <v:path gradientshapeok="t" o:connecttype="rect"/>
              </v:shapetype>
              <v:shape id="Text Box 4" o:spid="_x0000_s1026" type="#_x0000_t202" style="position:absolute;margin-left:76.5pt;margin-top:309.75pt;width:441pt;height:450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" filled="f" stroked="f">
                <v:textbox inset="0,0,0,0">
                  <w:txbxContent>
                    <w:p w14:paraId="1D7A9125" w14:textId="77777777" w:rsidR="005415D2" w:rsidRPr="00AF3063" w:rsidRDefault="00083003">
                      <w:pPr>
                        <w:spacing w:after="0" w:line="240" w:lineRule="auto"/>
                        <w:rPr>
                          <w:rFonts w:ascii="Montserrat ExtraBold" w:hAnsi="Montserrat ExtraBold"/>
                          <w:b/>
                          <w:color w:val="006890"/>
                          <w:sz w:val="22"/>
                          <w:szCs w:val="22"/>
                          <w:lang w:val="en-US"/>
                        </w:rPr>
                      </w:pPr>
                      <w:r w:rsidRPr="00AF3063">
                        <w:rPr>
                          <w:rFonts w:ascii="Montserrat ExtraBold" w:eastAsiaTheme="majorEastAsia" w:hAnsi="Montserrat ExtraBold" w:cstheme="majorBidi"/>
                          <w:color w:val="006890"/>
                          <w:spacing w:val="5"/>
                          <w:kern w:val="28"/>
                          <w:sz w:val="36"/>
                          <w:szCs w:val="36"/>
                          <w:lang w:val="en-US"/>
                        </w:rPr>
                        <w:t>Completed in accordance with the Supply Base Report Template Version 1.4</w:t>
                      </w:r>
                    </w:p>
                    <w:p w14:paraId="021F0C4A" w14:textId="77777777" w:rsidR="005415D2" w:rsidRDefault="005415D2">
                      <w:pPr>
                        <w:rPr>
                          <w:b/>
                          <w:i/>
                          <w:color w:val="006691"/>
                          <w:sz w:val="24"/>
                          <w:szCs w:val="24"/>
                          <w:lang w:val="en-US"/>
                        </w:rPr>
                      </w:pPr>
                    </w:p>
                    <w:p w14:paraId="7C27302C" w14:textId="77777777" w:rsidR="005415D2" w:rsidRDefault="005415D2">
                      <w:pPr>
                        <w:rPr>
                          <w:lang w:val="en-US"/>
                        </w:rPr>
                      </w:pPr>
                    </w:p>
                    <w:p w14:paraId="066FF829" w14:textId="77777777" w:rsidR="005415D2" w:rsidRDefault="00083003">
                      <w:pPr>
                        <w:rPr>
                          <w:lang w:val="en-US"/>
                        </w:rPr>
                      </w:pPr>
                      <w:r>
                        <w:rPr>
                          <w:i/>
                          <w:lang w:val="en-US"/>
                        </w:rPr>
                        <w:t xml:space="preserve">For further information on the SBP Framework and to view the full set of documentation see </w:t>
                      </w:r>
                      <w:hyperlink r:id="rId8" w:history="1">
                        <w:r>
                          <w:rPr>
                            <w:rStyle w:val="Hyperlink"/>
                            <w:i/>
                            <w:color w:val="006890"/>
                            <w:lang w:val="en-US"/>
                          </w:rPr>
                          <w:t>www.sbp-cert.org</w:t>
                        </w:r>
                      </w:hyperlink>
                    </w:p>
                    <w:p w14:paraId="108FDDCB" w14:textId="77777777" w:rsidR="005415D2" w:rsidRDefault="005415D2">
                      <w:pPr>
                        <w:rPr>
                          <w:i/>
                          <w:lang w:val="en-US"/>
                        </w:rPr>
                      </w:pPr>
                    </w:p>
                    <w:p w14:paraId="7A3C5E41" w14:textId="77777777" w:rsidR="005415D2" w:rsidRPr="00AF3063" w:rsidRDefault="00083003">
                      <w:pPr>
                        <w:rPr>
                          <w:rFonts w:cs="Arial"/>
                          <w:i/>
                          <w:lang w:val="en-US"/>
                        </w:rPr>
                      </w:pPr>
                      <w:r w:rsidRPr="00AF3063">
                        <w:rPr>
                          <w:rFonts w:cs="Arial"/>
                          <w:i/>
                          <w:lang w:val="en-US"/>
                        </w:rPr>
                        <w:t>Document history</w:t>
                      </w:r>
                    </w:p>
                    <w:p w14:paraId="78F8D593" w14:textId="77777777" w:rsidR="005415D2" w:rsidRPr="00AF3063" w:rsidRDefault="00083003">
                      <w:pPr>
                        <w:rPr>
                          <w:rFonts w:cs="Arial"/>
                          <w:i/>
                          <w:lang w:val="en-US"/>
                        </w:rPr>
                      </w:pPr>
                      <w:r w:rsidRPr="00AF3063">
                        <w:rPr>
                          <w:rFonts w:cs="Arial"/>
                          <w:i/>
                          <w:lang w:val="en-US"/>
                        </w:rPr>
                        <w:t>Version 1.0: published 26 March 2015</w:t>
                      </w:r>
                    </w:p>
                    <w:p w14:paraId="7D26733E" w14:textId="77777777" w:rsidR="005415D2" w:rsidRPr="00AF3063" w:rsidRDefault="00083003">
                      <w:pPr>
                        <w:rPr>
                          <w:rFonts w:cs="Arial"/>
                          <w:i/>
                          <w:lang w:val="en-US"/>
                        </w:rPr>
                      </w:pPr>
                      <w:r w:rsidRPr="00AF3063">
                        <w:rPr>
                          <w:rFonts w:cs="Arial"/>
                          <w:i/>
                          <w:lang w:val="en-US"/>
                        </w:rPr>
                        <w:t>Version 1.1 published 22 February 2016</w:t>
                      </w:r>
                    </w:p>
                    <w:p w14:paraId="472001B1" w14:textId="77777777" w:rsidR="005415D2" w:rsidRPr="00AF3063" w:rsidRDefault="00083003">
                      <w:pPr>
                        <w:rPr>
                          <w:rFonts w:cs="Arial"/>
                          <w:i/>
                          <w:lang w:val="en-US"/>
                        </w:rPr>
                      </w:pPr>
                      <w:r w:rsidRPr="00AF3063">
                        <w:rPr>
                          <w:rFonts w:cs="Arial"/>
                          <w:i/>
                          <w:lang w:val="en-US"/>
                        </w:rPr>
                        <w:t>Version 1.2 published 23 June 2016</w:t>
                      </w:r>
                    </w:p>
                    <w:p w14:paraId="31EDB9FE" w14:textId="77777777" w:rsidR="005415D2" w:rsidRPr="00AF3063" w:rsidRDefault="00083003">
                      <w:pPr>
                        <w:rPr>
                          <w:rFonts w:cs="Arial"/>
                          <w:i/>
                          <w:lang w:val="en-US"/>
                        </w:rPr>
                      </w:pPr>
                      <w:r w:rsidRPr="00AF3063">
                        <w:rPr>
                          <w:rFonts w:cs="Arial"/>
                          <w:i/>
                          <w:lang w:val="en-US"/>
                        </w:rPr>
                        <w:t>Version 1.3 published 14 January 2019; re-published 3 April 2020</w:t>
                      </w:r>
                    </w:p>
                    <w:p w14:paraId="0805252F" w14:textId="77777777" w:rsidR="005415D2" w:rsidRPr="00AF3063" w:rsidRDefault="00083003">
                      <w:pPr>
                        <w:rPr>
                          <w:rFonts w:cs="Arial"/>
                          <w:i/>
                          <w:lang w:val="en-US"/>
                        </w:rPr>
                      </w:pPr>
                      <w:r w:rsidRPr="00AF3063">
                        <w:rPr>
                          <w:rFonts w:cs="Arial"/>
                          <w:i/>
                          <w:lang w:val="en-US"/>
                        </w:rPr>
                        <w:t>Version 1.4 published 22 October 2020</w:t>
                      </w:r>
                    </w:p>
                    <w:p w14:paraId="487042BB" w14:textId="77777777" w:rsidR="005415D2" w:rsidRDefault="005415D2">
                      <w:pPr>
                        <w:rPr>
                          <w:i/>
                          <w:lang w:val="en-US"/>
                        </w:rPr>
                      </w:pPr>
                    </w:p>
                    <w:p w14:paraId="15BCE4CA" w14:textId="77777777" w:rsidR="005415D2" w:rsidRDefault="005415D2">
                      <w:pPr>
                        <w:rPr>
                          <w:i/>
                          <w:lang w:val="en-US"/>
                        </w:rPr>
                      </w:pPr>
                    </w:p>
                    <w:p w14:paraId="0AA1DF98" w14:textId="77777777" w:rsidR="005415D2" w:rsidRPr="00AF3063" w:rsidRDefault="00083003">
                      <w:pPr>
                        <w:rPr>
                          <w:rFonts w:cs="Arial"/>
                          <w:iCs/>
                          <w:lang w:val="en-US"/>
                        </w:rPr>
                      </w:pPr>
                      <w:r w:rsidRPr="00AF3063">
                        <w:rPr>
                          <w:rFonts w:cs="Arial"/>
                          <w:iCs/>
                          <w:lang w:val="en-US"/>
                        </w:rPr>
                        <w:t>© Copyright Sustainable Biomass Program Limited 2020</w:t>
                      </w:r>
                    </w:p>
                    <w:p w14:paraId="7F0B8542" w14:textId="77777777" w:rsidR="005415D2" w:rsidRDefault="005415D2">
                      <w:pPr>
                        <w:rPr>
                          <w:i/>
                          <w:lang w:val="en-US"/>
                        </w:rPr>
                      </w:pPr>
                    </w:p>
                  </w:txbxContent>
                </v:textbox>
                <w10:wrap anchorx="page" anchory="page"/>
              </v:shape>
            </w:pict>
          </mc:Fallback>
        </mc:AlternateContent>
      </w:r>
      <w:r>
        <w:rPr>
          <w:rFonts w:ascii="Times New Roman" w:hAnsi="Times New Roman" w:cs="Times New Roman"/>
          <w:sz w:val="24"/>
          <w:szCs w:val="24"/>
          <w:lang w:eastAsia="nl-NL"/>
        </w:rPr>
        <w:br w:type="page"/>
      </w:r>
    </w:p>
    <w:sdt>
      <w:sdtPr>
        <w:rPr>
          <w:rFonts w:asciiTheme="minorHAnsi" w:eastAsiaTheme="minorHAnsi" w:hAnsiTheme="minorHAnsi" w:cstheme="minorBidi"/>
          <w:bCs w:val="0"/>
          <w:color w:val="auto"/>
          <w:sz w:val="20"/>
          <w:szCs w:val="20"/>
          <w:lang w:val="en-GB"/>
        </w:rPr>
        <w:id w:val="-731076675"/>
        <w:docPartObj>
          <w:docPartGallery w:val="Table of Contents"/>
          <w:docPartUnique/>
        </w:docPartObj>
      </w:sdtPr>
      <w:sdtEndPr>
        <w:rPr>
          <w:rFonts w:ascii="Arial" w:hAnsi="Arial"/>
        </w:rPr>
      </w:sdtEndPr>
      <w:sdtContent>
        <w:p w14:paraId="21F89332" w14:textId="77777777" w:rsidR="005415D2" w:rsidRPr="00AF3063" w:rsidRDefault="00083003">
          <w:pPr>
            <w:pStyle w:val="TOCHeading"/>
            <w:rPr>
              <w:rFonts w:ascii="Montserrat ExtraBold" w:hAnsi="Montserrat ExtraBold"/>
              <w:color w:val="006890"/>
              <w:sz w:val="36"/>
              <w:szCs w:val="36"/>
            </w:rPr>
          </w:pPr>
          <w:r w:rsidRPr="00AF3063">
            <w:rPr>
              <w:rFonts w:ascii="Montserrat ExtraBold" w:hAnsi="Montserrat ExtraBold"/>
              <w:color w:val="006890"/>
              <w:sz w:val="36"/>
              <w:szCs w:val="36"/>
            </w:rPr>
            <w:t>Contents</w:t>
          </w:r>
        </w:p>
        <w:p w14:paraId="1ED4DAAD" w14:textId="7F0B4745" w:rsidR="007A2025" w:rsidRDefault="00083003">
          <w:pPr>
            <w:pStyle w:val="TOC1"/>
            <w:rPr>
              <w:rFonts w:asciiTheme="minorHAnsi" w:eastAsiaTheme="minorEastAsia" w:hAnsiTheme="minorHAnsi"/>
              <w:b w:val="0"/>
              <w:sz w:val="22"/>
              <w:szCs w:val="22"/>
              <w:lang w:val="nl-NL" w:eastAsia="nl-NL"/>
            </w:rPr>
          </w:pPr>
          <w:r>
            <w:rPr>
              <w:b w:val="0"/>
            </w:rPr>
            <w:fldChar w:fldCharType="begin"/>
          </w:r>
          <w:r>
            <w:rPr>
              <w:b w:val="0"/>
            </w:rPr>
            <w:instrText xml:space="preserve"> TOC \o "1-3" \n \h \z \u </w:instrText>
          </w:r>
          <w:r>
            <w:rPr>
              <w:b w:val="0"/>
            </w:rPr>
            <w:fldChar w:fldCharType="separate"/>
          </w:r>
          <w:hyperlink w:anchor="_Toc63846072" w:history="1">
            <w:r w:rsidR="007A2025" w:rsidRPr="001C5450">
              <w:rPr>
                <w:rStyle w:val="Hyperlink"/>
              </w:rPr>
              <w:t>1</w:t>
            </w:r>
            <w:r w:rsidR="007A2025">
              <w:rPr>
                <w:rFonts w:asciiTheme="minorHAnsi" w:eastAsiaTheme="minorEastAsia" w:hAnsiTheme="minorHAnsi"/>
                <w:b w:val="0"/>
                <w:sz w:val="22"/>
                <w:szCs w:val="22"/>
                <w:lang w:val="nl-NL" w:eastAsia="nl-NL"/>
              </w:rPr>
              <w:tab/>
            </w:r>
            <w:r w:rsidR="007A2025" w:rsidRPr="001C5450">
              <w:rPr>
                <w:rStyle w:val="Hyperlink"/>
              </w:rPr>
              <w:t>Overview</w:t>
            </w:r>
          </w:hyperlink>
        </w:p>
        <w:p w14:paraId="66D5EF8B" w14:textId="73E45847" w:rsidR="007A2025" w:rsidRDefault="00052066">
          <w:pPr>
            <w:pStyle w:val="TOC1"/>
            <w:rPr>
              <w:rFonts w:asciiTheme="minorHAnsi" w:eastAsiaTheme="minorEastAsia" w:hAnsiTheme="minorHAnsi"/>
              <w:b w:val="0"/>
              <w:sz w:val="22"/>
              <w:szCs w:val="22"/>
              <w:lang w:val="nl-NL" w:eastAsia="nl-NL"/>
            </w:rPr>
          </w:pPr>
          <w:hyperlink w:anchor="_Toc63846073" w:history="1">
            <w:r w:rsidR="007A2025" w:rsidRPr="001C5450">
              <w:rPr>
                <w:rStyle w:val="Hyperlink"/>
              </w:rPr>
              <w:t>2</w:t>
            </w:r>
            <w:r w:rsidR="007A2025">
              <w:rPr>
                <w:rFonts w:asciiTheme="minorHAnsi" w:eastAsiaTheme="minorEastAsia" w:hAnsiTheme="minorHAnsi"/>
                <w:b w:val="0"/>
                <w:sz w:val="22"/>
                <w:szCs w:val="22"/>
                <w:lang w:val="nl-NL" w:eastAsia="nl-NL"/>
              </w:rPr>
              <w:tab/>
            </w:r>
            <w:r w:rsidR="007A2025" w:rsidRPr="001C5450">
              <w:rPr>
                <w:rStyle w:val="Hyperlink"/>
              </w:rPr>
              <w:t>Description of the Supply Base</w:t>
            </w:r>
          </w:hyperlink>
        </w:p>
        <w:p w14:paraId="38539963" w14:textId="30421720" w:rsidR="007A2025" w:rsidRDefault="00052066">
          <w:pPr>
            <w:pStyle w:val="TOC2"/>
            <w:rPr>
              <w:rFonts w:asciiTheme="minorHAnsi" w:eastAsiaTheme="minorEastAsia" w:hAnsiTheme="minorHAnsi"/>
              <w:sz w:val="22"/>
              <w:szCs w:val="22"/>
              <w:lang w:val="nl-NL" w:eastAsia="nl-NL"/>
            </w:rPr>
          </w:pPr>
          <w:hyperlink w:anchor="_Toc63846074" w:history="1">
            <w:r w:rsidR="007A2025" w:rsidRPr="001C5450">
              <w:rPr>
                <w:rStyle w:val="Hyperlink"/>
              </w:rPr>
              <w:t>2.1</w:t>
            </w:r>
            <w:r w:rsidR="007A2025">
              <w:rPr>
                <w:rFonts w:asciiTheme="minorHAnsi" w:eastAsiaTheme="minorEastAsia" w:hAnsiTheme="minorHAnsi"/>
                <w:sz w:val="22"/>
                <w:szCs w:val="22"/>
                <w:lang w:val="nl-NL" w:eastAsia="nl-NL"/>
              </w:rPr>
              <w:tab/>
            </w:r>
            <w:r w:rsidR="007A2025" w:rsidRPr="001C5450">
              <w:rPr>
                <w:rStyle w:val="Hyperlink"/>
              </w:rPr>
              <w:t>General description</w:t>
            </w:r>
          </w:hyperlink>
        </w:p>
        <w:p w14:paraId="7A304866" w14:textId="66A289E0" w:rsidR="007A2025" w:rsidRDefault="00052066">
          <w:pPr>
            <w:pStyle w:val="TOC2"/>
            <w:rPr>
              <w:rFonts w:asciiTheme="minorHAnsi" w:eastAsiaTheme="minorEastAsia" w:hAnsiTheme="minorHAnsi"/>
              <w:sz w:val="22"/>
              <w:szCs w:val="22"/>
              <w:lang w:val="nl-NL" w:eastAsia="nl-NL"/>
            </w:rPr>
          </w:pPr>
          <w:hyperlink w:anchor="_Toc63846075" w:history="1">
            <w:r w:rsidR="007A2025" w:rsidRPr="001C5450">
              <w:rPr>
                <w:rStyle w:val="Hyperlink"/>
              </w:rPr>
              <w:t>2.2</w:t>
            </w:r>
            <w:r w:rsidR="007A2025">
              <w:rPr>
                <w:rFonts w:asciiTheme="minorHAnsi" w:eastAsiaTheme="minorEastAsia" w:hAnsiTheme="minorHAnsi"/>
                <w:sz w:val="22"/>
                <w:szCs w:val="22"/>
                <w:lang w:val="nl-NL" w:eastAsia="nl-NL"/>
              </w:rPr>
              <w:tab/>
            </w:r>
            <w:r w:rsidR="007A2025" w:rsidRPr="001C5450">
              <w:rPr>
                <w:rStyle w:val="Hyperlink"/>
              </w:rPr>
              <w:t>Description of countries included in the Supply Base</w:t>
            </w:r>
          </w:hyperlink>
        </w:p>
        <w:p w14:paraId="29565E4D" w14:textId="2D3CE122" w:rsidR="007A2025" w:rsidRDefault="00052066">
          <w:pPr>
            <w:pStyle w:val="TOC2"/>
            <w:rPr>
              <w:rFonts w:asciiTheme="minorHAnsi" w:eastAsiaTheme="minorEastAsia" w:hAnsiTheme="minorHAnsi"/>
              <w:sz w:val="22"/>
              <w:szCs w:val="22"/>
              <w:lang w:val="nl-NL" w:eastAsia="nl-NL"/>
            </w:rPr>
          </w:pPr>
          <w:hyperlink w:anchor="_Toc63846076" w:history="1">
            <w:r w:rsidR="007A2025" w:rsidRPr="001C5450">
              <w:rPr>
                <w:rStyle w:val="Hyperlink"/>
              </w:rPr>
              <w:t>2.3</w:t>
            </w:r>
            <w:r w:rsidR="007A2025">
              <w:rPr>
                <w:rFonts w:asciiTheme="minorHAnsi" w:eastAsiaTheme="minorEastAsia" w:hAnsiTheme="minorHAnsi"/>
                <w:sz w:val="22"/>
                <w:szCs w:val="22"/>
                <w:lang w:val="nl-NL" w:eastAsia="nl-NL"/>
              </w:rPr>
              <w:tab/>
            </w:r>
            <w:r w:rsidR="007A2025" w:rsidRPr="001C5450">
              <w:rPr>
                <w:rStyle w:val="Hyperlink"/>
              </w:rPr>
              <w:t>Actions taken to promote certification amongst feedstock supplier</w:t>
            </w:r>
          </w:hyperlink>
        </w:p>
        <w:p w14:paraId="716C8384" w14:textId="6E581486" w:rsidR="007A2025" w:rsidRDefault="00052066">
          <w:pPr>
            <w:pStyle w:val="TOC2"/>
            <w:rPr>
              <w:rFonts w:asciiTheme="minorHAnsi" w:eastAsiaTheme="minorEastAsia" w:hAnsiTheme="minorHAnsi"/>
              <w:sz w:val="22"/>
              <w:szCs w:val="22"/>
              <w:lang w:val="nl-NL" w:eastAsia="nl-NL"/>
            </w:rPr>
          </w:pPr>
          <w:hyperlink w:anchor="_Toc63846077" w:history="1">
            <w:r w:rsidR="007A2025" w:rsidRPr="001C5450">
              <w:rPr>
                <w:rStyle w:val="Hyperlink"/>
              </w:rPr>
              <w:t>2.4</w:t>
            </w:r>
            <w:r w:rsidR="007A2025">
              <w:rPr>
                <w:rFonts w:asciiTheme="minorHAnsi" w:eastAsiaTheme="minorEastAsia" w:hAnsiTheme="minorHAnsi"/>
                <w:sz w:val="22"/>
                <w:szCs w:val="22"/>
                <w:lang w:val="nl-NL" w:eastAsia="nl-NL"/>
              </w:rPr>
              <w:tab/>
            </w:r>
            <w:r w:rsidR="007A2025" w:rsidRPr="001C5450">
              <w:rPr>
                <w:rStyle w:val="Hyperlink"/>
              </w:rPr>
              <w:t>Quantification of the Supply Base</w:t>
            </w:r>
          </w:hyperlink>
        </w:p>
        <w:p w14:paraId="6AFE4D18" w14:textId="74E8A9EA" w:rsidR="007A2025" w:rsidRDefault="00052066">
          <w:pPr>
            <w:pStyle w:val="TOC1"/>
            <w:rPr>
              <w:rFonts w:asciiTheme="minorHAnsi" w:eastAsiaTheme="minorEastAsia" w:hAnsiTheme="minorHAnsi"/>
              <w:b w:val="0"/>
              <w:sz w:val="22"/>
              <w:szCs w:val="22"/>
              <w:lang w:val="nl-NL" w:eastAsia="nl-NL"/>
            </w:rPr>
          </w:pPr>
          <w:hyperlink w:anchor="_Toc63846078" w:history="1">
            <w:r w:rsidR="007A2025" w:rsidRPr="001C5450">
              <w:rPr>
                <w:rStyle w:val="Hyperlink"/>
              </w:rPr>
              <w:t>3</w:t>
            </w:r>
            <w:r w:rsidR="007A2025">
              <w:rPr>
                <w:rFonts w:asciiTheme="minorHAnsi" w:eastAsiaTheme="minorEastAsia" w:hAnsiTheme="minorHAnsi"/>
                <w:b w:val="0"/>
                <w:sz w:val="22"/>
                <w:szCs w:val="22"/>
                <w:lang w:val="nl-NL" w:eastAsia="nl-NL"/>
              </w:rPr>
              <w:tab/>
            </w:r>
            <w:r w:rsidR="007A2025" w:rsidRPr="001C5450">
              <w:rPr>
                <w:rStyle w:val="Hyperlink"/>
              </w:rPr>
              <w:t>Requirement for a Supply Base Evaluation</w:t>
            </w:r>
          </w:hyperlink>
        </w:p>
        <w:p w14:paraId="38E09285" w14:textId="43DEEED0" w:rsidR="007A2025" w:rsidRDefault="00052066">
          <w:pPr>
            <w:pStyle w:val="TOC1"/>
            <w:rPr>
              <w:rFonts w:asciiTheme="minorHAnsi" w:eastAsiaTheme="minorEastAsia" w:hAnsiTheme="minorHAnsi"/>
              <w:b w:val="0"/>
              <w:sz w:val="22"/>
              <w:szCs w:val="22"/>
              <w:lang w:val="nl-NL" w:eastAsia="nl-NL"/>
            </w:rPr>
          </w:pPr>
          <w:hyperlink w:anchor="_Toc63846079" w:history="1">
            <w:r w:rsidR="007A2025" w:rsidRPr="001C5450">
              <w:rPr>
                <w:rStyle w:val="Hyperlink"/>
              </w:rPr>
              <w:t>4</w:t>
            </w:r>
            <w:r w:rsidR="007A2025">
              <w:rPr>
                <w:rFonts w:asciiTheme="minorHAnsi" w:eastAsiaTheme="minorEastAsia" w:hAnsiTheme="minorHAnsi"/>
                <w:b w:val="0"/>
                <w:sz w:val="22"/>
                <w:szCs w:val="22"/>
                <w:lang w:val="nl-NL" w:eastAsia="nl-NL"/>
              </w:rPr>
              <w:tab/>
            </w:r>
            <w:r w:rsidR="007A2025" w:rsidRPr="001C5450">
              <w:rPr>
                <w:rStyle w:val="Hyperlink"/>
              </w:rPr>
              <w:t>Supply Base Evaluation</w:t>
            </w:r>
          </w:hyperlink>
        </w:p>
        <w:p w14:paraId="1A61DB73" w14:textId="7191B2E0" w:rsidR="007A2025" w:rsidRDefault="00052066">
          <w:pPr>
            <w:pStyle w:val="TOC2"/>
            <w:rPr>
              <w:rFonts w:asciiTheme="minorHAnsi" w:eastAsiaTheme="minorEastAsia" w:hAnsiTheme="minorHAnsi"/>
              <w:sz w:val="22"/>
              <w:szCs w:val="22"/>
              <w:lang w:val="nl-NL" w:eastAsia="nl-NL"/>
            </w:rPr>
          </w:pPr>
          <w:hyperlink w:anchor="_Toc63846080" w:history="1">
            <w:r w:rsidR="007A2025" w:rsidRPr="001C5450">
              <w:rPr>
                <w:rStyle w:val="Hyperlink"/>
              </w:rPr>
              <w:t>4.1</w:t>
            </w:r>
            <w:r w:rsidR="007A2025">
              <w:rPr>
                <w:rFonts w:asciiTheme="minorHAnsi" w:eastAsiaTheme="minorEastAsia" w:hAnsiTheme="minorHAnsi"/>
                <w:sz w:val="22"/>
                <w:szCs w:val="22"/>
                <w:lang w:val="nl-NL" w:eastAsia="nl-NL"/>
              </w:rPr>
              <w:tab/>
            </w:r>
            <w:r w:rsidR="007A2025" w:rsidRPr="001C5450">
              <w:rPr>
                <w:rStyle w:val="Hyperlink"/>
              </w:rPr>
              <w:t>Scope</w:t>
            </w:r>
          </w:hyperlink>
        </w:p>
        <w:p w14:paraId="372C8A2B" w14:textId="6DB8D611" w:rsidR="007A2025" w:rsidRDefault="00052066">
          <w:pPr>
            <w:pStyle w:val="TOC2"/>
            <w:rPr>
              <w:rFonts w:asciiTheme="minorHAnsi" w:eastAsiaTheme="minorEastAsia" w:hAnsiTheme="minorHAnsi"/>
              <w:sz w:val="22"/>
              <w:szCs w:val="22"/>
              <w:lang w:val="nl-NL" w:eastAsia="nl-NL"/>
            </w:rPr>
          </w:pPr>
          <w:hyperlink w:anchor="_Toc63846081" w:history="1">
            <w:r w:rsidR="007A2025" w:rsidRPr="001C5450">
              <w:rPr>
                <w:rStyle w:val="Hyperlink"/>
              </w:rPr>
              <w:t>4.2</w:t>
            </w:r>
            <w:r w:rsidR="007A2025">
              <w:rPr>
                <w:rFonts w:asciiTheme="minorHAnsi" w:eastAsiaTheme="minorEastAsia" w:hAnsiTheme="minorHAnsi"/>
                <w:sz w:val="22"/>
                <w:szCs w:val="22"/>
                <w:lang w:val="nl-NL" w:eastAsia="nl-NL"/>
              </w:rPr>
              <w:tab/>
            </w:r>
            <w:r w:rsidR="007A2025" w:rsidRPr="001C5450">
              <w:rPr>
                <w:rStyle w:val="Hyperlink"/>
              </w:rPr>
              <w:t>Justification</w:t>
            </w:r>
          </w:hyperlink>
        </w:p>
        <w:p w14:paraId="42BD60B9" w14:textId="00CA697A" w:rsidR="007A2025" w:rsidRDefault="00052066">
          <w:pPr>
            <w:pStyle w:val="TOC2"/>
            <w:rPr>
              <w:rFonts w:asciiTheme="minorHAnsi" w:eastAsiaTheme="minorEastAsia" w:hAnsiTheme="minorHAnsi"/>
              <w:sz w:val="22"/>
              <w:szCs w:val="22"/>
              <w:lang w:val="nl-NL" w:eastAsia="nl-NL"/>
            </w:rPr>
          </w:pPr>
          <w:hyperlink w:anchor="_Toc63846082" w:history="1">
            <w:r w:rsidR="007A2025" w:rsidRPr="001C5450">
              <w:rPr>
                <w:rStyle w:val="Hyperlink"/>
              </w:rPr>
              <w:t>4.3</w:t>
            </w:r>
            <w:r w:rsidR="007A2025">
              <w:rPr>
                <w:rFonts w:asciiTheme="minorHAnsi" w:eastAsiaTheme="minorEastAsia" w:hAnsiTheme="minorHAnsi"/>
                <w:sz w:val="22"/>
                <w:szCs w:val="22"/>
                <w:lang w:val="nl-NL" w:eastAsia="nl-NL"/>
              </w:rPr>
              <w:tab/>
            </w:r>
            <w:r w:rsidR="007A2025" w:rsidRPr="001C5450">
              <w:rPr>
                <w:rStyle w:val="Hyperlink"/>
              </w:rPr>
              <w:t>Results of risk assessment and Supplier Verification Programme</w:t>
            </w:r>
          </w:hyperlink>
        </w:p>
        <w:p w14:paraId="76346F85" w14:textId="74D51BA2" w:rsidR="007A2025" w:rsidRDefault="00052066">
          <w:pPr>
            <w:pStyle w:val="TOC2"/>
            <w:rPr>
              <w:rFonts w:asciiTheme="minorHAnsi" w:eastAsiaTheme="minorEastAsia" w:hAnsiTheme="minorHAnsi"/>
              <w:sz w:val="22"/>
              <w:szCs w:val="22"/>
              <w:lang w:val="nl-NL" w:eastAsia="nl-NL"/>
            </w:rPr>
          </w:pPr>
          <w:hyperlink w:anchor="_Toc63846083" w:history="1">
            <w:r w:rsidR="007A2025" w:rsidRPr="001C5450">
              <w:rPr>
                <w:rStyle w:val="Hyperlink"/>
              </w:rPr>
              <w:t>4.4</w:t>
            </w:r>
            <w:r w:rsidR="007A2025">
              <w:rPr>
                <w:rFonts w:asciiTheme="minorHAnsi" w:eastAsiaTheme="minorEastAsia" w:hAnsiTheme="minorHAnsi"/>
                <w:sz w:val="22"/>
                <w:szCs w:val="22"/>
                <w:lang w:val="nl-NL" w:eastAsia="nl-NL"/>
              </w:rPr>
              <w:tab/>
            </w:r>
            <w:r w:rsidR="007A2025" w:rsidRPr="001C5450">
              <w:rPr>
                <w:rStyle w:val="Hyperlink"/>
              </w:rPr>
              <w:t>Conclusion</w:t>
            </w:r>
          </w:hyperlink>
        </w:p>
        <w:p w14:paraId="54A74B1C" w14:textId="32A78864" w:rsidR="007A2025" w:rsidRDefault="00052066">
          <w:pPr>
            <w:pStyle w:val="TOC1"/>
            <w:rPr>
              <w:rFonts w:asciiTheme="minorHAnsi" w:eastAsiaTheme="minorEastAsia" w:hAnsiTheme="minorHAnsi"/>
              <w:b w:val="0"/>
              <w:sz w:val="22"/>
              <w:szCs w:val="22"/>
              <w:lang w:val="nl-NL" w:eastAsia="nl-NL"/>
            </w:rPr>
          </w:pPr>
          <w:hyperlink w:anchor="_Toc63846084" w:history="1">
            <w:r w:rsidR="007A2025" w:rsidRPr="001C5450">
              <w:rPr>
                <w:rStyle w:val="Hyperlink"/>
              </w:rPr>
              <w:t>5</w:t>
            </w:r>
            <w:r w:rsidR="007A2025">
              <w:rPr>
                <w:rFonts w:asciiTheme="minorHAnsi" w:eastAsiaTheme="minorEastAsia" w:hAnsiTheme="minorHAnsi"/>
                <w:b w:val="0"/>
                <w:sz w:val="22"/>
                <w:szCs w:val="22"/>
                <w:lang w:val="nl-NL" w:eastAsia="nl-NL"/>
              </w:rPr>
              <w:tab/>
            </w:r>
            <w:r w:rsidR="007A2025" w:rsidRPr="001C5450">
              <w:rPr>
                <w:rStyle w:val="Hyperlink"/>
              </w:rPr>
              <w:t>Supply Base Evaluation process</w:t>
            </w:r>
          </w:hyperlink>
        </w:p>
        <w:p w14:paraId="30F94C83" w14:textId="7F569249" w:rsidR="007A2025" w:rsidRDefault="00052066">
          <w:pPr>
            <w:pStyle w:val="TOC1"/>
            <w:rPr>
              <w:rFonts w:asciiTheme="minorHAnsi" w:eastAsiaTheme="minorEastAsia" w:hAnsiTheme="minorHAnsi"/>
              <w:b w:val="0"/>
              <w:sz w:val="22"/>
              <w:szCs w:val="22"/>
              <w:lang w:val="nl-NL" w:eastAsia="nl-NL"/>
            </w:rPr>
          </w:pPr>
          <w:hyperlink w:anchor="_Toc63846085" w:history="1">
            <w:r w:rsidR="007A2025" w:rsidRPr="001C5450">
              <w:rPr>
                <w:rStyle w:val="Hyperlink"/>
              </w:rPr>
              <w:t>6</w:t>
            </w:r>
            <w:r w:rsidR="007A2025">
              <w:rPr>
                <w:rFonts w:asciiTheme="minorHAnsi" w:eastAsiaTheme="minorEastAsia" w:hAnsiTheme="minorHAnsi"/>
                <w:b w:val="0"/>
                <w:sz w:val="22"/>
                <w:szCs w:val="22"/>
                <w:lang w:val="nl-NL" w:eastAsia="nl-NL"/>
              </w:rPr>
              <w:tab/>
            </w:r>
            <w:r w:rsidR="007A2025" w:rsidRPr="001C5450">
              <w:rPr>
                <w:rStyle w:val="Hyperlink"/>
              </w:rPr>
              <w:t>Stakeholder consultation</w:t>
            </w:r>
          </w:hyperlink>
        </w:p>
        <w:p w14:paraId="66F9012C" w14:textId="5379BA2A" w:rsidR="007A2025" w:rsidRDefault="00052066">
          <w:pPr>
            <w:pStyle w:val="TOC2"/>
            <w:rPr>
              <w:rFonts w:asciiTheme="minorHAnsi" w:eastAsiaTheme="minorEastAsia" w:hAnsiTheme="minorHAnsi"/>
              <w:sz w:val="22"/>
              <w:szCs w:val="22"/>
              <w:lang w:val="nl-NL" w:eastAsia="nl-NL"/>
            </w:rPr>
          </w:pPr>
          <w:hyperlink w:anchor="_Toc63846086" w:history="1">
            <w:r w:rsidR="007A2025" w:rsidRPr="001C5450">
              <w:rPr>
                <w:rStyle w:val="Hyperlink"/>
              </w:rPr>
              <w:t>6.1</w:t>
            </w:r>
            <w:r w:rsidR="007A2025">
              <w:rPr>
                <w:rFonts w:asciiTheme="minorHAnsi" w:eastAsiaTheme="minorEastAsia" w:hAnsiTheme="minorHAnsi"/>
                <w:sz w:val="22"/>
                <w:szCs w:val="22"/>
                <w:lang w:val="nl-NL" w:eastAsia="nl-NL"/>
              </w:rPr>
              <w:tab/>
            </w:r>
            <w:r w:rsidR="007A2025" w:rsidRPr="001C5450">
              <w:rPr>
                <w:rStyle w:val="Hyperlink"/>
              </w:rPr>
              <w:t>Response to stakeholder comments</w:t>
            </w:r>
          </w:hyperlink>
        </w:p>
        <w:p w14:paraId="79AEEF0A" w14:textId="75DE3D78" w:rsidR="007A2025" w:rsidRDefault="00052066">
          <w:pPr>
            <w:pStyle w:val="TOC1"/>
            <w:rPr>
              <w:rFonts w:asciiTheme="minorHAnsi" w:eastAsiaTheme="minorEastAsia" w:hAnsiTheme="minorHAnsi"/>
              <w:b w:val="0"/>
              <w:sz w:val="22"/>
              <w:szCs w:val="22"/>
              <w:lang w:val="nl-NL" w:eastAsia="nl-NL"/>
            </w:rPr>
          </w:pPr>
          <w:hyperlink w:anchor="_Toc63846087" w:history="1">
            <w:r w:rsidR="007A2025" w:rsidRPr="001C5450">
              <w:rPr>
                <w:rStyle w:val="Hyperlink"/>
              </w:rPr>
              <w:t>7</w:t>
            </w:r>
            <w:r w:rsidR="007A2025">
              <w:rPr>
                <w:rFonts w:asciiTheme="minorHAnsi" w:eastAsiaTheme="minorEastAsia" w:hAnsiTheme="minorHAnsi"/>
                <w:b w:val="0"/>
                <w:sz w:val="22"/>
                <w:szCs w:val="22"/>
                <w:lang w:val="nl-NL" w:eastAsia="nl-NL"/>
              </w:rPr>
              <w:tab/>
            </w:r>
            <w:r w:rsidR="007A2025" w:rsidRPr="001C5450">
              <w:rPr>
                <w:rStyle w:val="Hyperlink"/>
              </w:rPr>
              <w:t>Mitigation measures</w:t>
            </w:r>
          </w:hyperlink>
        </w:p>
        <w:p w14:paraId="47154EB7" w14:textId="2E864B42" w:rsidR="007A2025" w:rsidRDefault="00052066">
          <w:pPr>
            <w:pStyle w:val="TOC2"/>
            <w:rPr>
              <w:rFonts w:asciiTheme="minorHAnsi" w:eastAsiaTheme="minorEastAsia" w:hAnsiTheme="minorHAnsi"/>
              <w:sz w:val="22"/>
              <w:szCs w:val="22"/>
              <w:lang w:val="nl-NL" w:eastAsia="nl-NL"/>
            </w:rPr>
          </w:pPr>
          <w:hyperlink w:anchor="_Toc63846088" w:history="1">
            <w:r w:rsidR="007A2025" w:rsidRPr="001C5450">
              <w:rPr>
                <w:rStyle w:val="Hyperlink"/>
              </w:rPr>
              <w:t>7.1</w:t>
            </w:r>
            <w:r w:rsidR="007A2025">
              <w:rPr>
                <w:rFonts w:asciiTheme="minorHAnsi" w:eastAsiaTheme="minorEastAsia" w:hAnsiTheme="minorHAnsi"/>
                <w:sz w:val="22"/>
                <w:szCs w:val="22"/>
                <w:lang w:val="nl-NL" w:eastAsia="nl-NL"/>
              </w:rPr>
              <w:tab/>
            </w:r>
            <w:r w:rsidR="007A2025" w:rsidRPr="001C5450">
              <w:rPr>
                <w:rStyle w:val="Hyperlink"/>
              </w:rPr>
              <w:t>Mitigation measures</w:t>
            </w:r>
          </w:hyperlink>
        </w:p>
        <w:p w14:paraId="17799488" w14:textId="702DBF0F" w:rsidR="007A2025" w:rsidRDefault="00052066">
          <w:pPr>
            <w:pStyle w:val="TOC2"/>
            <w:rPr>
              <w:rFonts w:asciiTheme="minorHAnsi" w:eastAsiaTheme="minorEastAsia" w:hAnsiTheme="minorHAnsi"/>
              <w:sz w:val="22"/>
              <w:szCs w:val="22"/>
              <w:lang w:val="nl-NL" w:eastAsia="nl-NL"/>
            </w:rPr>
          </w:pPr>
          <w:hyperlink w:anchor="_Toc63846089" w:history="1">
            <w:r w:rsidR="007A2025" w:rsidRPr="001C5450">
              <w:rPr>
                <w:rStyle w:val="Hyperlink"/>
              </w:rPr>
              <w:t>7.2</w:t>
            </w:r>
            <w:r w:rsidR="007A2025">
              <w:rPr>
                <w:rFonts w:asciiTheme="minorHAnsi" w:eastAsiaTheme="minorEastAsia" w:hAnsiTheme="minorHAnsi"/>
                <w:sz w:val="22"/>
                <w:szCs w:val="22"/>
                <w:lang w:val="nl-NL" w:eastAsia="nl-NL"/>
              </w:rPr>
              <w:tab/>
            </w:r>
            <w:r w:rsidR="007A2025" w:rsidRPr="001C5450">
              <w:rPr>
                <w:rStyle w:val="Hyperlink"/>
              </w:rPr>
              <w:t>Monitoring and outcomes</w:t>
            </w:r>
          </w:hyperlink>
        </w:p>
        <w:p w14:paraId="2E43D4EA" w14:textId="0A995937" w:rsidR="007A2025" w:rsidRDefault="00052066">
          <w:pPr>
            <w:pStyle w:val="TOC1"/>
            <w:rPr>
              <w:rFonts w:asciiTheme="minorHAnsi" w:eastAsiaTheme="minorEastAsia" w:hAnsiTheme="minorHAnsi"/>
              <w:b w:val="0"/>
              <w:sz w:val="22"/>
              <w:szCs w:val="22"/>
              <w:lang w:val="nl-NL" w:eastAsia="nl-NL"/>
            </w:rPr>
          </w:pPr>
          <w:hyperlink w:anchor="_Toc63846090" w:history="1">
            <w:r w:rsidR="007A2025" w:rsidRPr="001C5450">
              <w:rPr>
                <w:rStyle w:val="Hyperlink"/>
              </w:rPr>
              <w:t>8</w:t>
            </w:r>
            <w:r w:rsidR="007A2025">
              <w:rPr>
                <w:rFonts w:asciiTheme="minorHAnsi" w:eastAsiaTheme="minorEastAsia" w:hAnsiTheme="minorHAnsi"/>
                <w:b w:val="0"/>
                <w:sz w:val="22"/>
                <w:szCs w:val="22"/>
                <w:lang w:val="nl-NL" w:eastAsia="nl-NL"/>
              </w:rPr>
              <w:tab/>
            </w:r>
            <w:r w:rsidR="007A2025" w:rsidRPr="001C5450">
              <w:rPr>
                <w:rStyle w:val="Hyperlink"/>
              </w:rPr>
              <w:t>Detailed findings for indicators</w:t>
            </w:r>
          </w:hyperlink>
        </w:p>
        <w:p w14:paraId="7B4BCEA0" w14:textId="7FE34DEB" w:rsidR="007A2025" w:rsidRDefault="00052066">
          <w:pPr>
            <w:pStyle w:val="TOC1"/>
            <w:rPr>
              <w:rFonts w:asciiTheme="minorHAnsi" w:eastAsiaTheme="minorEastAsia" w:hAnsiTheme="minorHAnsi"/>
              <w:b w:val="0"/>
              <w:sz w:val="22"/>
              <w:szCs w:val="22"/>
              <w:lang w:val="nl-NL" w:eastAsia="nl-NL"/>
            </w:rPr>
          </w:pPr>
          <w:hyperlink w:anchor="_Toc63846091" w:history="1">
            <w:r w:rsidR="007A2025" w:rsidRPr="001C5450">
              <w:rPr>
                <w:rStyle w:val="Hyperlink"/>
              </w:rPr>
              <w:t>9</w:t>
            </w:r>
            <w:r w:rsidR="007A2025">
              <w:rPr>
                <w:rFonts w:asciiTheme="minorHAnsi" w:eastAsiaTheme="minorEastAsia" w:hAnsiTheme="minorHAnsi"/>
                <w:b w:val="0"/>
                <w:sz w:val="22"/>
                <w:szCs w:val="22"/>
                <w:lang w:val="nl-NL" w:eastAsia="nl-NL"/>
              </w:rPr>
              <w:tab/>
            </w:r>
            <w:r w:rsidR="007A2025" w:rsidRPr="001C5450">
              <w:rPr>
                <w:rStyle w:val="Hyperlink"/>
              </w:rPr>
              <w:t>Review of report</w:t>
            </w:r>
          </w:hyperlink>
        </w:p>
        <w:p w14:paraId="2642C41E" w14:textId="512C9D0C" w:rsidR="007A2025" w:rsidRDefault="00052066">
          <w:pPr>
            <w:pStyle w:val="TOC2"/>
            <w:rPr>
              <w:rFonts w:asciiTheme="minorHAnsi" w:eastAsiaTheme="minorEastAsia" w:hAnsiTheme="minorHAnsi"/>
              <w:sz w:val="22"/>
              <w:szCs w:val="22"/>
              <w:lang w:val="nl-NL" w:eastAsia="nl-NL"/>
            </w:rPr>
          </w:pPr>
          <w:hyperlink w:anchor="_Toc63846092" w:history="1">
            <w:r w:rsidR="007A2025" w:rsidRPr="001C5450">
              <w:rPr>
                <w:rStyle w:val="Hyperlink"/>
              </w:rPr>
              <w:t>9.1</w:t>
            </w:r>
            <w:r w:rsidR="007A2025">
              <w:rPr>
                <w:rFonts w:asciiTheme="minorHAnsi" w:eastAsiaTheme="minorEastAsia" w:hAnsiTheme="minorHAnsi"/>
                <w:sz w:val="22"/>
                <w:szCs w:val="22"/>
                <w:lang w:val="nl-NL" w:eastAsia="nl-NL"/>
              </w:rPr>
              <w:tab/>
            </w:r>
            <w:r w:rsidR="007A2025" w:rsidRPr="001C5450">
              <w:rPr>
                <w:rStyle w:val="Hyperlink"/>
              </w:rPr>
              <w:t>Peer review</w:t>
            </w:r>
          </w:hyperlink>
        </w:p>
        <w:p w14:paraId="6A6A6D44" w14:textId="6AF82954" w:rsidR="007A2025" w:rsidRDefault="00052066">
          <w:pPr>
            <w:pStyle w:val="TOC2"/>
            <w:rPr>
              <w:rFonts w:asciiTheme="minorHAnsi" w:eastAsiaTheme="minorEastAsia" w:hAnsiTheme="minorHAnsi"/>
              <w:sz w:val="22"/>
              <w:szCs w:val="22"/>
              <w:lang w:val="nl-NL" w:eastAsia="nl-NL"/>
            </w:rPr>
          </w:pPr>
          <w:hyperlink w:anchor="_Toc63846093" w:history="1">
            <w:r w:rsidR="007A2025" w:rsidRPr="001C5450">
              <w:rPr>
                <w:rStyle w:val="Hyperlink"/>
              </w:rPr>
              <w:t>9.2</w:t>
            </w:r>
            <w:r w:rsidR="007A2025">
              <w:rPr>
                <w:rFonts w:asciiTheme="minorHAnsi" w:eastAsiaTheme="minorEastAsia" w:hAnsiTheme="minorHAnsi"/>
                <w:sz w:val="22"/>
                <w:szCs w:val="22"/>
                <w:lang w:val="nl-NL" w:eastAsia="nl-NL"/>
              </w:rPr>
              <w:tab/>
            </w:r>
            <w:r w:rsidR="007A2025" w:rsidRPr="001C5450">
              <w:rPr>
                <w:rStyle w:val="Hyperlink"/>
              </w:rPr>
              <w:t>Public or additional reviews</w:t>
            </w:r>
          </w:hyperlink>
        </w:p>
        <w:p w14:paraId="0FEEB6A7" w14:textId="04A22F66" w:rsidR="007A2025" w:rsidRDefault="00052066">
          <w:pPr>
            <w:pStyle w:val="TOC1"/>
            <w:rPr>
              <w:rFonts w:asciiTheme="minorHAnsi" w:eastAsiaTheme="minorEastAsia" w:hAnsiTheme="minorHAnsi"/>
              <w:b w:val="0"/>
              <w:sz w:val="22"/>
              <w:szCs w:val="22"/>
              <w:lang w:val="nl-NL" w:eastAsia="nl-NL"/>
            </w:rPr>
          </w:pPr>
          <w:hyperlink w:anchor="_Toc63846094" w:history="1">
            <w:r w:rsidR="007A2025" w:rsidRPr="001C5450">
              <w:rPr>
                <w:rStyle w:val="Hyperlink"/>
              </w:rPr>
              <w:t>10</w:t>
            </w:r>
            <w:r w:rsidR="007A2025">
              <w:rPr>
                <w:rFonts w:asciiTheme="minorHAnsi" w:eastAsiaTheme="minorEastAsia" w:hAnsiTheme="minorHAnsi"/>
                <w:b w:val="0"/>
                <w:sz w:val="22"/>
                <w:szCs w:val="22"/>
                <w:lang w:val="nl-NL" w:eastAsia="nl-NL"/>
              </w:rPr>
              <w:tab/>
            </w:r>
            <w:r w:rsidR="007A2025" w:rsidRPr="001C5450">
              <w:rPr>
                <w:rStyle w:val="Hyperlink"/>
              </w:rPr>
              <w:t>Approval of report</w:t>
            </w:r>
          </w:hyperlink>
        </w:p>
        <w:p w14:paraId="53E1DC30" w14:textId="0B285851" w:rsidR="007A2025" w:rsidRDefault="00052066">
          <w:pPr>
            <w:pStyle w:val="TOC1"/>
            <w:rPr>
              <w:rFonts w:asciiTheme="minorHAnsi" w:eastAsiaTheme="minorEastAsia" w:hAnsiTheme="minorHAnsi"/>
              <w:b w:val="0"/>
              <w:sz w:val="22"/>
              <w:szCs w:val="22"/>
              <w:lang w:val="nl-NL" w:eastAsia="nl-NL"/>
            </w:rPr>
          </w:pPr>
          <w:hyperlink w:anchor="_Toc63846095" w:history="1">
            <w:r w:rsidR="007A2025" w:rsidRPr="001C5450">
              <w:rPr>
                <w:rStyle w:val="Hyperlink"/>
              </w:rPr>
              <w:t>Annex 1: Detailed findings for Supply Base Evaluation indicators</w:t>
            </w:r>
          </w:hyperlink>
        </w:p>
        <w:p w14:paraId="25242605" w14:textId="1AC90E22" w:rsidR="005415D2" w:rsidRDefault="00083003">
          <w:r>
            <w:rPr>
              <w:b/>
              <w:noProof/>
            </w:rPr>
            <w:fldChar w:fldCharType="end"/>
          </w:r>
        </w:p>
      </w:sdtContent>
    </w:sdt>
    <w:p w14:paraId="76D34BA1" w14:textId="77777777" w:rsidR="005415D2" w:rsidRDefault="00083003" w:rsidP="00AF3063">
      <w:pPr>
        <w:pStyle w:val="Heading1"/>
      </w:pPr>
      <w:bookmarkStart w:id="0" w:name="_Toc63846072"/>
      <w:r>
        <w:lastRenderedPageBreak/>
        <w:t>Overview</w:t>
      </w:r>
      <w:bookmarkEnd w:id="0"/>
    </w:p>
    <w:p w14:paraId="23095A13" w14:textId="77777777" w:rsidR="005415D2" w:rsidRDefault="005415D2">
      <w:pPr>
        <w:rPr>
          <w:i/>
        </w:rPr>
      </w:pPr>
    </w:p>
    <w:p w14:paraId="38D144AC" w14:textId="55E9F429" w:rsidR="005415D2" w:rsidRPr="00AF3063" w:rsidRDefault="00083003">
      <w:pPr>
        <w:rPr>
          <w:rFonts w:cs="Arial"/>
        </w:rPr>
      </w:pPr>
      <w:r w:rsidRPr="00AF3063">
        <w:rPr>
          <w:rFonts w:cs="Arial"/>
          <w:b/>
          <w:bCs/>
        </w:rPr>
        <w:t>Producer name:</w:t>
      </w:r>
      <w:r w:rsidRPr="00AF3063">
        <w:rPr>
          <w:rFonts w:cs="Arial"/>
        </w:rPr>
        <w:t xml:space="preserve"> </w:t>
      </w:r>
      <w:r w:rsidRPr="00AF3063">
        <w:rPr>
          <w:rFonts w:cs="Arial"/>
        </w:rPr>
        <w:tab/>
      </w:r>
      <w:r w:rsidRPr="00AF3063">
        <w:rPr>
          <w:rFonts w:cs="Arial"/>
        </w:rPr>
        <w:tab/>
      </w:r>
      <w:r w:rsidR="005B5CFF">
        <w:rPr>
          <w:rFonts w:cs="Arial"/>
        </w:rPr>
        <w:tab/>
      </w:r>
      <w:r w:rsidRPr="00AF3063">
        <w:rPr>
          <w:rFonts w:cs="Arial"/>
        </w:rPr>
        <w:t>PATA SIA</w:t>
      </w:r>
    </w:p>
    <w:p w14:paraId="4F44560C" w14:textId="6D64FA79" w:rsidR="005415D2" w:rsidRPr="00AF3063" w:rsidRDefault="00083003">
      <w:pPr>
        <w:rPr>
          <w:rFonts w:cs="Arial"/>
        </w:rPr>
      </w:pPr>
      <w:r w:rsidRPr="00AF3063">
        <w:rPr>
          <w:rFonts w:cs="Arial"/>
          <w:b/>
          <w:bCs/>
        </w:rPr>
        <w:t>Producer address:</w:t>
      </w:r>
      <w:r w:rsidRPr="00AF3063">
        <w:rPr>
          <w:rFonts w:cs="Arial"/>
        </w:rPr>
        <w:tab/>
      </w:r>
      <w:r w:rsidRPr="00AF3063">
        <w:rPr>
          <w:rFonts w:cs="Arial"/>
        </w:rPr>
        <w:tab/>
      </w:r>
      <w:r w:rsidR="005B5CFF">
        <w:rPr>
          <w:rFonts w:cs="Arial"/>
        </w:rPr>
        <w:tab/>
      </w:r>
      <w:proofErr w:type="spellStart"/>
      <w:r w:rsidRPr="00AF3063">
        <w:rPr>
          <w:rFonts w:cs="Arial"/>
        </w:rPr>
        <w:t>Cēsu</w:t>
      </w:r>
      <w:proofErr w:type="spellEnd"/>
      <w:r w:rsidRPr="00AF3063">
        <w:rPr>
          <w:rFonts w:cs="Arial"/>
        </w:rPr>
        <w:t xml:space="preserve"> </w:t>
      </w:r>
      <w:proofErr w:type="spellStart"/>
      <w:r w:rsidRPr="00AF3063">
        <w:rPr>
          <w:rFonts w:cs="Arial"/>
        </w:rPr>
        <w:t>Iela</w:t>
      </w:r>
      <w:proofErr w:type="spellEnd"/>
      <w:r w:rsidRPr="00AF3063">
        <w:rPr>
          <w:rFonts w:cs="Arial"/>
        </w:rPr>
        <w:t xml:space="preserve"> 14, LV-1012 </w:t>
      </w:r>
      <w:proofErr w:type="spellStart"/>
      <w:r w:rsidRPr="00AF3063">
        <w:rPr>
          <w:rFonts w:cs="Arial"/>
        </w:rPr>
        <w:t>Rīga</w:t>
      </w:r>
      <w:proofErr w:type="spellEnd"/>
      <w:r w:rsidRPr="00AF3063">
        <w:rPr>
          <w:rFonts w:cs="Arial"/>
        </w:rPr>
        <w:t>, Latvia</w:t>
      </w:r>
    </w:p>
    <w:p w14:paraId="0BA5E2DA" w14:textId="63A288BF" w:rsidR="005415D2" w:rsidRPr="00AF3063" w:rsidRDefault="00083003">
      <w:pPr>
        <w:rPr>
          <w:rFonts w:cs="Arial"/>
        </w:rPr>
      </w:pPr>
      <w:r w:rsidRPr="00AF3063">
        <w:rPr>
          <w:rFonts w:cs="Arial"/>
          <w:b/>
          <w:bCs/>
        </w:rPr>
        <w:t>SBP Certificate Code:</w:t>
      </w:r>
      <w:r w:rsidRPr="00AF3063">
        <w:rPr>
          <w:rFonts w:cs="Arial"/>
        </w:rPr>
        <w:tab/>
      </w:r>
      <w:r w:rsidRPr="00AF3063">
        <w:rPr>
          <w:rFonts w:cs="Arial"/>
        </w:rPr>
        <w:tab/>
      </w:r>
      <w:r w:rsidR="005B5CFF">
        <w:rPr>
          <w:rFonts w:cs="Arial"/>
        </w:rPr>
        <w:tab/>
      </w:r>
      <w:r w:rsidRPr="00AF3063">
        <w:rPr>
          <w:rFonts w:cs="Arial"/>
        </w:rPr>
        <w:t>N/A</w:t>
      </w:r>
    </w:p>
    <w:p w14:paraId="75FC8C86" w14:textId="0B489AA5" w:rsidR="005415D2" w:rsidRPr="00AF3063" w:rsidRDefault="00083003">
      <w:pPr>
        <w:rPr>
          <w:rFonts w:cs="Arial"/>
        </w:rPr>
      </w:pPr>
      <w:r w:rsidRPr="00AF3063">
        <w:rPr>
          <w:rFonts w:cs="Arial"/>
          <w:b/>
          <w:bCs/>
        </w:rPr>
        <w:t>Geographic position:</w:t>
      </w:r>
      <w:r w:rsidRPr="00AF3063">
        <w:rPr>
          <w:rFonts w:cs="Arial"/>
        </w:rPr>
        <w:tab/>
      </w:r>
      <w:r w:rsidRPr="00AF3063">
        <w:rPr>
          <w:rFonts w:cs="Arial"/>
        </w:rPr>
        <w:tab/>
      </w:r>
      <w:r w:rsidR="005B5CFF">
        <w:rPr>
          <w:rFonts w:cs="Arial"/>
        </w:rPr>
        <w:tab/>
      </w:r>
      <w:r w:rsidRPr="00AF3063">
        <w:rPr>
          <w:rFonts w:cs="Arial"/>
        </w:rPr>
        <w:t>56.964710, 24.139170</w:t>
      </w:r>
    </w:p>
    <w:p w14:paraId="74A7EDE2" w14:textId="07216E81" w:rsidR="005415D2" w:rsidRPr="00AF3063" w:rsidRDefault="00083003">
      <w:pPr>
        <w:ind w:left="3600" w:hanging="3600"/>
        <w:rPr>
          <w:rFonts w:cs="Arial"/>
        </w:rPr>
      </w:pPr>
      <w:r w:rsidRPr="00AF3063">
        <w:rPr>
          <w:rFonts w:cs="Arial"/>
          <w:b/>
          <w:bCs/>
        </w:rPr>
        <w:t>Primary contact:</w:t>
      </w:r>
      <w:r w:rsidR="005B5CFF">
        <w:rPr>
          <w:rFonts w:cs="Arial"/>
          <w:b/>
          <w:bCs/>
        </w:rPr>
        <w:tab/>
      </w:r>
      <w:r w:rsidRPr="00AF3063">
        <w:rPr>
          <w:rFonts w:cs="Arial"/>
        </w:rPr>
        <w:t xml:space="preserve">Vita Rudzīte, </w:t>
      </w:r>
      <w:r w:rsidR="005B5CFF">
        <w:rPr>
          <w:rFonts w:cs="Arial"/>
        </w:rPr>
        <w:t xml:space="preserve">+371 291 570 </w:t>
      </w:r>
      <w:proofErr w:type="gramStart"/>
      <w:r w:rsidR="005B5CFF">
        <w:rPr>
          <w:rFonts w:cs="Arial"/>
        </w:rPr>
        <w:t>44,</w:t>
      </w:r>
      <w:r w:rsidRPr="00AF3063">
        <w:rPr>
          <w:rFonts w:cs="Arial"/>
        </w:rPr>
        <w:t>vita.rudzite@pata.lv</w:t>
      </w:r>
      <w:proofErr w:type="gramEnd"/>
    </w:p>
    <w:p w14:paraId="695DE505" w14:textId="28990D67" w:rsidR="005415D2" w:rsidRPr="00AF3063" w:rsidRDefault="00083003">
      <w:pPr>
        <w:rPr>
          <w:rFonts w:cs="Arial"/>
        </w:rPr>
      </w:pPr>
      <w:r w:rsidRPr="00AF3063">
        <w:rPr>
          <w:rFonts w:cs="Arial"/>
          <w:b/>
          <w:bCs/>
        </w:rPr>
        <w:t>Company website:</w:t>
      </w:r>
      <w:r w:rsidRPr="00AF3063">
        <w:rPr>
          <w:rFonts w:cs="Arial"/>
        </w:rPr>
        <w:tab/>
      </w:r>
      <w:r w:rsidRPr="00AF3063">
        <w:rPr>
          <w:rFonts w:cs="Arial"/>
        </w:rPr>
        <w:tab/>
      </w:r>
      <w:r w:rsidR="005B5CFF">
        <w:rPr>
          <w:rFonts w:cs="Arial"/>
        </w:rPr>
        <w:tab/>
      </w:r>
      <w:r w:rsidRPr="00AF3063">
        <w:rPr>
          <w:rFonts w:cs="Arial"/>
        </w:rPr>
        <w:t>www.pata.lv</w:t>
      </w:r>
    </w:p>
    <w:p w14:paraId="5227DCA3" w14:textId="12A3E749" w:rsidR="005415D2" w:rsidRPr="00AF3063" w:rsidRDefault="00083003">
      <w:pPr>
        <w:rPr>
          <w:rFonts w:cs="Arial"/>
          <w:b/>
          <w:i/>
          <w:lang w:val="en-US"/>
        </w:rPr>
      </w:pPr>
      <w:r w:rsidRPr="00AF3063">
        <w:rPr>
          <w:rFonts w:cs="Arial"/>
          <w:b/>
          <w:bCs/>
        </w:rPr>
        <w:t>Date report finalised:</w:t>
      </w:r>
      <w:r w:rsidRPr="00AF3063">
        <w:rPr>
          <w:rFonts w:cs="Arial"/>
        </w:rPr>
        <w:tab/>
      </w:r>
      <w:r w:rsidRPr="00AF3063">
        <w:rPr>
          <w:rFonts w:cs="Arial"/>
        </w:rPr>
        <w:tab/>
      </w:r>
      <w:r w:rsidR="005B5CFF">
        <w:rPr>
          <w:rFonts w:cs="Arial"/>
        </w:rPr>
        <w:tab/>
      </w:r>
      <w:r w:rsidRPr="00AF3063">
        <w:rPr>
          <w:rFonts w:cs="Arial"/>
        </w:rPr>
        <w:t>20 Apr 2022</w:t>
      </w:r>
    </w:p>
    <w:p w14:paraId="5E4841AA" w14:textId="77777777" w:rsidR="005415D2" w:rsidRPr="00AF3063" w:rsidRDefault="00083003">
      <w:pPr>
        <w:rPr>
          <w:rFonts w:cs="Arial"/>
          <w:color w:val="000000" w:themeColor="text1"/>
        </w:rPr>
      </w:pPr>
      <w:r w:rsidRPr="00AF3063">
        <w:rPr>
          <w:rFonts w:cs="Arial"/>
          <w:b/>
          <w:bCs/>
        </w:rPr>
        <w:t>Close of last CB audit:</w:t>
      </w:r>
      <w:r w:rsidRPr="00AF3063">
        <w:rPr>
          <w:rFonts w:cs="Arial"/>
        </w:rPr>
        <w:tab/>
      </w:r>
      <w:r w:rsidRPr="00AF3063">
        <w:rPr>
          <w:rFonts w:cs="Arial"/>
        </w:rPr>
        <w:tab/>
      </w:r>
      <w:r w:rsidRPr="00AF3063">
        <w:rPr>
          <w:rFonts w:cs="Arial"/>
        </w:rPr>
        <w:tab/>
      </w:r>
      <w:r w:rsidRPr="00AF3063">
        <w:rPr>
          <w:rFonts w:cs="Arial"/>
          <w:color w:val="000000" w:themeColor="text1"/>
        </w:rPr>
        <w:t>13 May 2021</w:t>
      </w:r>
    </w:p>
    <w:p w14:paraId="150BF88B" w14:textId="77777777" w:rsidR="005415D2" w:rsidRPr="00AF3063" w:rsidRDefault="00083003">
      <w:pPr>
        <w:rPr>
          <w:rFonts w:cs="Arial"/>
        </w:rPr>
      </w:pPr>
      <w:r w:rsidRPr="00AF3063">
        <w:rPr>
          <w:rFonts w:cs="Arial"/>
          <w:b/>
          <w:bCs/>
        </w:rPr>
        <w:t>Name of CB:</w:t>
      </w:r>
      <w:r w:rsidRPr="00AF3063">
        <w:rPr>
          <w:rFonts w:cs="Arial"/>
        </w:rPr>
        <w:tab/>
      </w:r>
      <w:r w:rsidRPr="00AF3063">
        <w:rPr>
          <w:rFonts w:cs="Arial"/>
        </w:rPr>
        <w:tab/>
      </w:r>
      <w:r w:rsidRPr="00AF3063">
        <w:rPr>
          <w:rFonts w:cs="Arial"/>
        </w:rPr>
        <w:tab/>
      </w:r>
      <w:r w:rsidRPr="00AF3063">
        <w:rPr>
          <w:rFonts w:cs="Arial"/>
        </w:rPr>
        <w:tab/>
      </w:r>
      <w:r w:rsidRPr="00AF3063">
        <w:rPr>
          <w:rFonts w:cs="Arial"/>
          <w:color w:val="000000" w:themeColor="text1"/>
        </w:rPr>
        <w:t>SCS Global Services</w:t>
      </w:r>
    </w:p>
    <w:p w14:paraId="074AA18D" w14:textId="4AC8CFE0" w:rsidR="005415D2" w:rsidRPr="00AF3063" w:rsidRDefault="00083003">
      <w:pPr>
        <w:rPr>
          <w:rFonts w:cs="Arial"/>
          <w:lang w:val="en-US"/>
        </w:rPr>
      </w:pPr>
      <w:r w:rsidRPr="00AF3063">
        <w:rPr>
          <w:rFonts w:cs="Arial"/>
          <w:b/>
          <w:bCs/>
        </w:rPr>
        <w:t>SBP Standard(s) used:</w:t>
      </w:r>
      <w:r w:rsidRPr="00AF3063">
        <w:rPr>
          <w:rFonts w:cs="Arial"/>
        </w:rPr>
        <w:tab/>
      </w:r>
      <w:r w:rsidRPr="00AF3063">
        <w:rPr>
          <w:rFonts w:cs="Arial"/>
        </w:rPr>
        <w:tab/>
        <w:t>SBP Standard 1: Feedstock Compliance Standard, SBP Standard 2: Verification of SBP-compliant Feedstock, SBP Standard 4: Chain of Custody, SBP Standard 5: Collection and Communication of Data Instruction</w:t>
      </w:r>
    </w:p>
    <w:p w14:paraId="55244269" w14:textId="77777777" w:rsidR="005415D2" w:rsidRPr="00AF3063" w:rsidRDefault="00083003">
      <w:pPr>
        <w:rPr>
          <w:rFonts w:cs="Arial"/>
          <w:color w:val="006691"/>
        </w:rPr>
      </w:pPr>
      <w:r w:rsidRPr="00AF3063">
        <w:rPr>
          <w:rFonts w:cs="Arial"/>
          <w:b/>
          <w:bCs/>
        </w:rPr>
        <w:t>Weblink to Standard(s) used:</w:t>
      </w:r>
      <w:r w:rsidRPr="00AF3063">
        <w:rPr>
          <w:rFonts w:cs="Arial"/>
        </w:rPr>
        <w:tab/>
      </w:r>
      <w:r w:rsidRPr="00AF3063">
        <w:rPr>
          <w:rFonts w:cs="Arial"/>
        </w:rPr>
        <w:tab/>
      </w:r>
      <w:hyperlink r:id="rId9" w:history="1">
        <w:r w:rsidRPr="002C2A0D">
          <w:rPr>
            <w:rStyle w:val="Hyperlink"/>
            <w:rFonts w:cs="Arial"/>
            <w:color w:val="00A8B0"/>
          </w:rPr>
          <w:t>https://sbp-cert.org/documents/standards-documents/standards</w:t>
        </w:r>
      </w:hyperlink>
    </w:p>
    <w:p w14:paraId="6B14AC14" w14:textId="71D34BDC" w:rsidR="005415D2" w:rsidRPr="00AF3063" w:rsidRDefault="00083003">
      <w:pPr>
        <w:rPr>
          <w:rFonts w:cs="Arial"/>
          <w:lang w:val="en-IN"/>
        </w:rPr>
      </w:pPr>
      <w:r w:rsidRPr="00AF3063">
        <w:rPr>
          <w:rFonts w:cs="Arial"/>
          <w:b/>
          <w:bCs/>
        </w:rPr>
        <w:t>SBP Endorsed Regional Risk Assessment</w:t>
      </w:r>
      <w:r w:rsidRPr="00AF3063">
        <w:rPr>
          <w:rFonts w:cs="Arial"/>
        </w:rPr>
        <w:t>: Estonia, Lithuania, Latvia</w:t>
      </w:r>
    </w:p>
    <w:p w14:paraId="131A77B9" w14:textId="77777777" w:rsidR="005415D2" w:rsidRPr="00AF3063" w:rsidRDefault="00083003">
      <w:pPr>
        <w:rPr>
          <w:rFonts w:cs="Arial"/>
        </w:rPr>
      </w:pPr>
      <w:r w:rsidRPr="00AF3063">
        <w:rPr>
          <w:rFonts w:cs="Arial"/>
          <w:b/>
          <w:bCs/>
        </w:rPr>
        <w:t>Weblink to SBR on Company website:</w:t>
      </w:r>
      <w:r w:rsidRPr="00AF3063">
        <w:rPr>
          <w:rFonts w:cs="Arial"/>
        </w:rPr>
        <w:t xml:space="preserve"> https://pata.lv/energetiskas-koksnes-sertifikacija/</w:t>
      </w:r>
    </w:p>
    <w:p w14:paraId="796FC2CE" w14:textId="77777777" w:rsidR="005415D2" w:rsidRDefault="005415D2"/>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9"/>
        <w:gridCol w:w="1617"/>
        <w:gridCol w:w="1617"/>
        <w:gridCol w:w="1617"/>
        <w:gridCol w:w="1618"/>
        <w:gridCol w:w="1600"/>
      </w:tblGrid>
      <w:tr w:rsidR="005415D2" w14:paraId="136E24B3" w14:textId="77777777">
        <w:trPr>
          <w:trHeight w:val="647"/>
        </w:trPr>
        <w:tc>
          <w:tcPr>
            <w:tcW w:w="9429" w:type="dxa"/>
            <w:gridSpan w:val="6"/>
            <w:tcBorders>
              <w:top w:val="single" w:sz="4" w:space="0" w:color="auto"/>
              <w:left w:val="single" w:sz="4" w:space="0" w:color="auto"/>
              <w:bottom w:val="single" w:sz="4" w:space="0" w:color="auto"/>
              <w:right w:val="single" w:sz="4" w:space="0" w:color="auto"/>
            </w:tcBorders>
            <w:shd w:val="clear" w:color="auto" w:fill="006691"/>
            <w:vAlign w:val="center"/>
            <w:hideMark/>
          </w:tcPr>
          <w:p w14:paraId="4F91476E" w14:textId="77777777" w:rsidR="005415D2" w:rsidRPr="00AF3063" w:rsidRDefault="00083003">
            <w:pPr>
              <w:spacing w:before="120" w:after="0" w:line="240" w:lineRule="auto"/>
              <w:jc w:val="center"/>
              <w:rPr>
                <w:rFonts w:cs="Arial"/>
                <w:b/>
                <w:color w:val="FFFFFF" w:themeColor="background1"/>
                <w:lang w:val="en-US"/>
              </w:rPr>
            </w:pPr>
            <w:bookmarkStart w:id="1" w:name="_Hlk52442056"/>
            <w:r w:rsidRPr="00AF3063">
              <w:rPr>
                <w:rFonts w:cs="Arial"/>
                <w:b/>
                <w:color w:val="FFFFFF" w:themeColor="background1"/>
                <w:lang w:val="en-US"/>
              </w:rPr>
              <w:t>Indicate how the current evaluation fits within the cycle of Supply Base Evaluations</w:t>
            </w:r>
          </w:p>
        </w:tc>
        <w:bookmarkEnd w:id="1"/>
      </w:tr>
      <w:tr w:rsidR="005415D2" w14:paraId="72537C8D" w14:textId="77777777">
        <w:trPr>
          <w:trHeight w:val="620"/>
        </w:trPr>
        <w:tc>
          <w:tcPr>
            <w:tcW w:w="1940"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0382A36C" w14:textId="77777777" w:rsidR="005415D2" w:rsidRPr="00AF3063" w:rsidRDefault="00083003">
            <w:pPr>
              <w:spacing w:before="120" w:after="0" w:line="240" w:lineRule="auto"/>
              <w:jc w:val="center"/>
              <w:rPr>
                <w:rFonts w:cs="Arial"/>
                <w:b/>
                <w:lang w:val="en-US"/>
              </w:rPr>
            </w:pPr>
            <w:r w:rsidRPr="00AF3063">
              <w:rPr>
                <w:rFonts w:cs="Arial"/>
                <w:b/>
                <w:lang w:val="en-US"/>
              </w:rPr>
              <w:t>Main (Initial)</w:t>
            </w:r>
          </w:p>
          <w:p w14:paraId="45C42925" w14:textId="77777777" w:rsidR="005415D2" w:rsidRPr="00AF3063" w:rsidRDefault="00083003">
            <w:pPr>
              <w:spacing w:after="120" w:line="240" w:lineRule="auto"/>
              <w:jc w:val="center"/>
              <w:rPr>
                <w:rFonts w:cs="Arial"/>
                <w:b/>
                <w:lang w:val="en-US"/>
              </w:rPr>
            </w:pPr>
            <w:r w:rsidRPr="00AF3063">
              <w:rPr>
                <w:rFonts w:cs="Arial"/>
                <w:b/>
                <w:lang w:val="en-US"/>
              </w:rPr>
              <w:t>Evaluation</w:t>
            </w:r>
          </w:p>
        </w:tc>
        <w:tc>
          <w:tcPr>
            <w:tcW w:w="1872"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116B5227" w14:textId="77777777" w:rsidR="005415D2" w:rsidRPr="00AF3063" w:rsidRDefault="00083003">
            <w:pPr>
              <w:spacing w:before="120" w:after="0" w:line="240" w:lineRule="auto"/>
              <w:jc w:val="center"/>
              <w:rPr>
                <w:rFonts w:cs="Arial"/>
                <w:b/>
                <w:lang w:val="en-US"/>
              </w:rPr>
            </w:pPr>
            <w:r w:rsidRPr="00AF3063">
              <w:rPr>
                <w:rFonts w:cs="Arial"/>
                <w:b/>
                <w:lang w:val="en-US"/>
              </w:rPr>
              <w:t>First</w:t>
            </w:r>
          </w:p>
          <w:p w14:paraId="5D3B503F" w14:textId="77777777" w:rsidR="005415D2" w:rsidRPr="00AF3063" w:rsidRDefault="00083003">
            <w:pPr>
              <w:spacing w:after="120" w:line="240" w:lineRule="auto"/>
              <w:jc w:val="center"/>
              <w:rPr>
                <w:rFonts w:cs="Arial"/>
                <w:b/>
                <w:lang w:val="en-US"/>
              </w:rPr>
            </w:pPr>
            <w:r w:rsidRPr="00AF3063">
              <w:rPr>
                <w:rFonts w:cs="Arial"/>
                <w:b/>
                <w:lang w:val="en-US"/>
              </w:rPr>
              <w:t>Surveillance</w:t>
            </w:r>
          </w:p>
        </w:tc>
        <w:tc>
          <w:tcPr>
            <w:tcW w:w="1872"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478275ED" w14:textId="77777777" w:rsidR="005415D2" w:rsidRPr="00AF3063" w:rsidRDefault="00083003">
            <w:pPr>
              <w:spacing w:before="120" w:after="120" w:line="240" w:lineRule="auto"/>
              <w:jc w:val="center"/>
              <w:rPr>
                <w:rFonts w:cs="Arial"/>
                <w:b/>
                <w:lang w:val="en-US"/>
              </w:rPr>
            </w:pPr>
            <w:r w:rsidRPr="00AF3063">
              <w:rPr>
                <w:rFonts w:cs="Arial"/>
                <w:b/>
                <w:lang w:val="en-US"/>
              </w:rPr>
              <w:t>Second Surveillance</w:t>
            </w:r>
          </w:p>
        </w:tc>
        <w:tc>
          <w:tcPr>
            <w:tcW w:w="1872"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72F2D44B" w14:textId="77777777" w:rsidR="005415D2" w:rsidRPr="00AF3063" w:rsidRDefault="00083003">
            <w:pPr>
              <w:spacing w:before="120" w:after="0" w:line="240" w:lineRule="auto"/>
              <w:jc w:val="center"/>
              <w:rPr>
                <w:rFonts w:cs="Arial"/>
                <w:b/>
                <w:lang w:val="en-US"/>
              </w:rPr>
            </w:pPr>
            <w:r w:rsidRPr="00AF3063">
              <w:rPr>
                <w:rFonts w:cs="Arial"/>
                <w:b/>
                <w:lang w:val="en-US"/>
              </w:rPr>
              <w:t>Third</w:t>
            </w:r>
          </w:p>
          <w:p w14:paraId="68C74139" w14:textId="77777777" w:rsidR="005415D2" w:rsidRPr="00AF3063" w:rsidRDefault="00083003">
            <w:pPr>
              <w:spacing w:after="120" w:line="240" w:lineRule="auto"/>
              <w:jc w:val="center"/>
              <w:rPr>
                <w:rFonts w:cs="Arial"/>
                <w:b/>
                <w:lang w:val="en-US"/>
              </w:rPr>
            </w:pPr>
            <w:r w:rsidRPr="00AF3063">
              <w:rPr>
                <w:rFonts w:cs="Arial"/>
                <w:b/>
                <w:lang w:val="en-US"/>
              </w:rPr>
              <w:t>Surveillance</w:t>
            </w:r>
          </w:p>
        </w:tc>
        <w:tc>
          <w:tcPr>
            <w:tcW w:w="1873"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3F1E0AD6" w14:textId="77777777" w:rsidR="005415D2" w:rsidRPr="00AF3063" w:rsidRDefault="00083003">
            <w:pPr>
              <w:spacing w:before="120" w:after="0" w:line="240" w:lineRule="auto"/>
              <w:jc w:val="center"/>
              <w:rPr>
                <w:rFonts w:cs="Arial"/>
                <w:b/>
                <w:lang w:val="en-US"/>
              </w:rPr>
            </w:pPr>
            <w:r w:rsidRPr="00AF3063">
              <w:rPr>
                <w:rFonts w:cs="Arial"/>
                <w:b/>
                <w:lang w:val="en-US"/>
              </w:rPr>
              <w:t>Fourth</w:t>
            </w:r>
          </w:p>
          <w:p w14:paraId="7E92997E" w14:textId="77777777" w:rsidR="005415D2" w:rsidRPr="00AF3063" w:rsidRDefault="00083003">
            <w:pPr>
              <w:spacing w:after="120" w:line="240" w:lineRule="auto"/>
              <w:jc w:val="center"/>
              <w:rPr>
                <w:rFonts w:cs="Arial"/>
                <w:b/>
                <w:lang w:val="en-US"/>
              </w:rPr>
            </w:pPr>
            <w:r w:rsidRPr="00AF3063">
              <w:rPr>
                <w:rFonts w:cs="Arial"/>
                <w:b/>
                <w:lang w:val="en-US"/>
              </w:rPr>
              <w:t>Surveillance</w:t>
            </w:r>
          </w:p>
        </w:tc>
        <w:tc>
          <w:tcPr>
            <w:tcW w:w="1873"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59176A3D" w14:textId="77777777" w:rsidR="005415D2" w:rsidRPr="00AF3063" w:rsidRDefault="00083003">
            <w:pPr>
              <w:spacing w:after="120" w:line="240" w:lineRule="auto"/>
              <w:jc w:val="center"/>
              <w:rPr>
                <w:rFonts w:cs="Arial"/>
                <w:b/>
                <w:lang w:val="en-US"/>
              </w:rPr>
            </w:pPr>
            <w:r w:rsidRPr="00AF3063">
              <w:rPr>
                <w:rFonts w:cs="Arial"/>
                <w:b/>
                <w:lang w:val="en-US"/>
              </w:rPr>
              <w:t>Re-assessment</w:t>
            </w:r>
          </w:p>
        </w:tc>
      </w:tr>
      <w:tr w:rsidR="005415D2" w14:paraId="09113B5A" w14:textId="77777777">
        <w:trPr>
          <w:trHeight w:val="710"/>
        </w:trPr>
        <w:tc>
          <w:tcPr>
            <w:tcW w:w="1940" w:type="dxa"/>
            <w:tcBorders>
              <w:top w:val="single" w:sz="4" w:space="0" w:color="auto"/>
              <w:left w:val="single" w:sz="4" w:space="0" w:color="auto"/>
              <w:bottom w:val="single" w:sz="4" w:space="0" w:color="auto"/>
              <w:right w:val="single" w:sz="4" w:space="0" w:color="auto"/>
            </w:tcBorders>
            <w:vAlign w:val="center"/>
            <w:hideMark/>
          </w:tcPr>
          <w:p w14:paraId="07DE17A0" w14:textId="77777777" w:rsidR="005415D2" w:rsidRPr="00AF3063" w:rsidRDefault="00083003">
            <w:pPr>
              <w:spacing w:before="120" w:after="120"/>
              <w:jc w:val="center"/>
              <w:rPr>
                <w:rFonts w:cs="Arial"/>
                <w:bCs/>
                <w:lang w:val="en-US"/>
              </w:rPr>
            </w:pPr>
            <w:r w:rsidRPr="00AF3063">
              <w:rPr>
                <w:rFonts w:cs="Arial"/>
                <w:bCs/>
                <w:color w:val="000000"/>
              </w:rPr>
              <w:t>☐</w:t>
            </w:r>
          </w:p>
        </w:tc>
        <w:tc>
          <w:tcPr>
            <w:tcW w:w="1872" w:type="dxa"/>
            <w:tcBorders>
              <w:top w:val="single" w:sz="4" w:space="0" w:color="auto"/>
              <w:left w:val="single" w:sz="4" w:space="0" w:color="auto"/>
              <w:bottom w:val="single" w:sz="4" w:space="0" w:color="auto"/>
              <w:right w:val="single" w:sz="4" w:space="0" w:color="auto"/>
            </w:tcBorders>
            <w:vAlign w:val="center"/>
            <w:hideMark/>
          </w:tcPr>
          <w:p w14:paraId="6E3D05E7" w14:textId="77777777" w:rsidR="005415D2" w:rsidRPr="00AF3063" w:rsidRDefault="00083003">
            <w:pPr>
              <w:spacing w:before="120" w:after="120"/>
              <w:jc w:val="center"/>
              <w:rPr>
                <w:rFonts w:cs="Arial"/>
                <w:b/>
                <w:lang w:val="en-US"/>
              </w:rPr>
            </w:pPr>
            <w:r w:rsidRPr="00AF3063">
              <w:rPr>
                <w:rFonts w:cs="Arial"/>
                <w:color w:val="000000"/>
              </w:rPr>
              <w:t>☐</w:t>
            </w:r>
          </w:p>
        </w:tc>
        <w:tc>
          <w:tcPr>
            <w:tcW w:w="1872" w:type="dxa"/>
            <w:tcBorders>
              <w:top w:val="single" w:sz="4" w:space="0" w:color="auto"/>
              <w:left w:val="single" w:sz="4" w:space="0" w:color="auto"/>
              <w:bottom w:val="single" w:sz="4" w:space="0" w:color="auto"/>
              <w:right w:val="single" w:sz="4" w:space="0" w:color="auto"/>
            </w:tcBorders>
            <w:vAlign w:val="center"/>
            <w:hideMark/>
          </w:tcPr>
          <w:p w14:paraId="36185246" w14:textId="77777777" w:rsidR="005415D2" w:rsidRPr="00AF3063" w:rsidRDefault="00083003">
            <w:pPr>
              <w:spacing w:before="120" w:after="120"/>
              <w:jc w:val="center"/>
              <w:rPr>
                <w:rFonts w:cs="Arial"/>
                <w:b/>
                <w:sz w:val="32"/>
                <w:szCs w:val="32"/>
                <w:lang w:val="en-US"/>
              </w:rPr>
            </w:pPr>
            <w:r w:rsidRPr="00AF3063">
              <w:rPr>
                <w:rFonts w:cs="Arial"/>
                <w:color w:val="000000"/>
              </w:rPr>
              <w:t>☐</w:t>
            </w:r>
          </w:p>
        </w:tc>
        <w:tc>
          <w:tcPr>
            <w:tcW w:w="1872" w:type="dxa"/>
            <w:tcBorders>
              <w:top w:val="single" w:sz="4" w:space="0" w:color="auto"/>
              <w:left w:val="single" w:sz="4" w:space="0" w:color="auto"/>
              <w:bottom w:val="single" w:sz="4" w:space="0" w:color="auto"/>
              <w:right w:val="single" w:sz="4" w:space="0" w:color="auto"/>
            </w:tcBorders>
            <w:vAlign w:val="center"/>
            <w:hideMark/>
          </w:tcPr>
          <w:p w14:paraId="5E191BDF" w14:textId="77777777" w:rsidR="005415D2" w:rsidRPr="00AF3063" w:rsidRDefault="00083003">
            <w:pPr>
              <w:spacing w:before="120" w:after="120"/>
              <w:jc w:val="center"/>
              <w:rPr>
                <w:rFonts w:cs="Arial"/>
                <w:b/>
                <w:sz w:val="32"/>
                <w:szCs w:val="32"/>
                <w:lang w:val="en-US"/>
              </w:rPr>
            </w:pPr>
            <w:r w:rsidRPr="00AF3063">
              <w:rPr>
                <w:rFonts w:cs="Arial"/>
                <w:color w:val="000000"/>
              </w:rPr>
              <w:t>☐</w:t>
            </w:r>
          </w:p>
        </w:tc>
        <w:tc>
          <w:tcPr>
            <w:tcW w:w="1873" w:type="dxa"/>
            <w:tcBorders>
              <w:top w:val="single" w:sz="4" w:space="0" w:color="auto"/>
              <w:left w:val="single" w:sz="4" w:space="0" w:color="auto"/>
              <w:bottom w:val="single" w:sz="4" w:space="0" w:color="auto"/>
              <w:right w:val="single" w:sz="4" w:space="0" w:color="auto"/>
            </w:tcBorders>
            <w:vAlign w:val="center"/>
            <w:hideMark/>
          </w:tcPr>
          <w:p w14:paraId="044F2F0E" w14:textId="77777777" w:rsidR="005415D2" w:rsidRPr="00AF3063" w:rsidRDefault="00083003">
            <w:pPr>
              <w:spacing w:before="120" w:after="120"/>
              <w:jc w:val="center"/>
              <w:rPr>
                <w:rFonts w:cs="Arial"/>
                <w:b/>
                <w:sz w:val="32"/>
                <w:szCs w:val="32"/>
                <w:lang w:val="en-US"/>
              </w:rPr>
            </w:pPr>
            <w:r w:rsidRPr="00AF3063">
              <w:rPr>
                <w:rFonts w:cs="Arial"/>
                <w:color w:val="000000"/>
              </w:rPr>
              <w:t>☐</w:t>
            </w:r>
          </w:p>
        </w:tc>
        <w:tc>
          <w:tcPr>
            <w:tcW w:w="1873" w:type="dxa"/>
            <w:tcBorders>
              <w:top w:val="single" w:sz="4" w:space="0" w:color="auto"/>
              <w:left w:val="single" w:sz="4" w:space="0" w:color="auto"/>
              <w:bottom w:val="single" w:sz="4" w:space="0" w:color="auto"/>
              <w:right w:val="single" w:sz="4" w:space="0" w:color="auto"/>
            </w:tcBorders>
            <w:vAlign w:val="center"/>
            <w:hideMark/>
          </w:tcPr>
          <w:p w14:paraId="6CCCD4EB" w14:textId="77777777" w:rsidR="005415D2" w:rsidRPr="00AF3063" w:rsidRDefault="00083003">
            <w:pPr>
              <w:spacing w:before="120" w:after="120"/>
              <w:jc w:val="center"/>
              <w:rPr>
                <w:rFonts w:cs="Arial"/>
                <w:b/>
                <w:sz w:val="32"/>
                <w:szCs w:val="32"/>
                <w:lang w:val="en-US"/>
              </w:rPr>
            </w:pPr>
            <w:r w:rsidRPr="00AF3063">
              <w:rPr>
                <w:rFonts w:cs="Arial"/>
                <w:color w:val="000000"/>
              </w:rPr>
              <w:t>☒</w:t>
            </w:r>
          </w:p>
        </w:tc>
      </w:tr>
    </w:tbl>
    <w:p w14:paraId="751EA876" w14:textId="77777777" w:rsidR="005415D2" w:rsidRDefault="005415D2"/>
    <w:p w14:paraId="34319C9F" w14:textId="77777777" w:rsidR="005415D2" w:rsidRDefault="00083003" w:rsidP="00AF3063">
      <w:pPr>
        <w:pStyle w:val="Heading1"/>
      </w:pPr>
      <w:bookmarkStart w:id="2" w:name="_Toc63846073"/>
      <w:r>
        <w:lastRenderedPageBreak/>
        <w:t>Description of the Supply Base</w:t>
      </w:r>
      <w:bookmarkEnd w:id="2"/>
    </w:p>
    <w:p w14:paraId="6E524D03" w14:textId="77777777" w:rsidR="005415D2" w:rsidRPr="00AF3063" w:rsidRDefault="00083003" w:rsidP="000C27C4">
      <w:pPr>
        <w:pStyle w:val="Heading2"/>
      </w:pPr>
      <w:bookmarkStart w:id="3" w:name="_Toc63846074"/>
      <w:r w:rsidRPr="000C27C4">
        <w:t>General</w:t>
      </w:r>
      <w:r w:rsidRPr="00AF3063">
        <w:t xml:space="preserve"> description</w:t>
      </w:r>
      <w:bookmarkEnd w:id="3"/>
    </w:p>
    <w:p w14:paraId="66615058" w14:textId="77777777" w:rsidR="005415D2" w:rsidRDefault="00083003">
      <w:pPr>
        <w:rPr>
          <w:b/>
          <w:bCs/>
        </w:rPr>
      </w:pPr>
      <w:r>
        <w:rPr>
          <w:b/>
          <w:bCs/>
        </w:rPr>
        <w:t xml:space="preserve">Feedstock types: </w:t>
      </w:r>
      <w:r>
        <w:t>Primary, Secondary</w:t>
      </w:r>
    </w:p>
    <w:p w14:paraId="3E541B4F" w14:textId="77777777" w:rsidR="005415D2" w:rsidRDefault="00083003">
      <w:pPr>
        <w:rPr>
          <w:b/>
          <w:bCs/>
        </w:rPr>
      </w:pPr>
      <w:r>
        <w:rPr>
          <w:b/>
          <w:bCs/>
        </w:rPr>
        <w:t xml:space="preserve">Includes Supply Base evaluation (SBE): </w:t>
      </w:r>
      <w:r>
        <w:t>Yes</w:t>
      </w:r>
    </w:p>
    <w:p w14:paraId="3BA86949" w14:textId="77777777" w:rsidR="005415D2" w:rsidRDefault="00083003">
      <w:pPr>
        <w:rPr>
          <w:b/>
          <w:bCs/>
        </w:rPr>
      </w:pPr>
      <w:r>
        <w:rPr>
          <w:b/>
          <w:bCs/>
        </w:rPr>
        <w:t xml:space="preserve">Feedstock origin (countries): </w:t>
      </w:r>
      <w:r>
        <w:t>Estonia, Latvia, Lithuania</w:t>
      </w:r>
    </w:p>
    <w:p w14:paraId="46DBE937" w14:textId="2883EDEF" w:rsidR="005415D2" w:rsidRDefault="00083003" w:rsidP="000C27C4">
      <w:pPr>
        <w:pStyle w:val="Heading2"/>
      </w:pPr>
      <w:bookmarkStart w:id="4" w:name="_Toc63846075"/>
      <w:r>
        <w:t>Description of countries included in the Supply Base</w:t>
      </w:r>
      <w:bookmarkEnd w:id="4"/>
    </w:p>
    <w:p w14:paraId="7D8EB8B2" w14:textId="77777777" w:rsidR="005415D2" w:rsidRPr="000C27C4" w:rsidRDefault="005415D2">
      <w:pPr>
        <w:spacing w:after="0" w:line="240" w:lineRule="auto"/>
        <w:rPr>
          <w:rFonts w:cs="Arial"/>
          <w:lang w:val="en-US" w:eastAsia="nl-NL"/>
        </w:rPr>
      </w:pPr>
    </w:p>
    <w:p w14:paraId="67507D12" w14:textId="77777777" w:rsidR="005415D2" w:rsidRDefault="005415D2">
      <w:pPr>
        <w:spacing w:after="0" w:line="240" w:lineRule="auto"/>
        <w:rPr>
          <w:rFonts w:cstheme="minorHAnsi"/>
          <w:lang w:val="en-US" w:eastAsia="nl-NL"/>
        </w:rPr>
      </w:pPr>
      <w:bookmarkStart w:id="5" w:name="_Toc412646197"/>
    </w:p>
    <w:p w14:paraId="15DB17D9" w14:textId="77777777" w:rsidR="005415D2" w:rsidRDefault="00083003">
      <w:pPr>
        <w:rPr>
          <w:color w:val="000000" w:themeColor="text1"/>
        </w:rPr>
      </w:pPr>
      <w:proofErr w:type="spellStart"/>
      <w:proofErr w:type="gramStart"/>
      <w:r>
        <w:rPr>
          <w:b/>
          <w:bCs/>
          <w:color w:val="000000" w:themeColor="text1"/>
        </w:rPr>
        <w:t>Country:</w:t>
      </w:r>
      <w:r>
        <w:rPr>
          <w:color w:val="000000" w:themeColor="text1"/>
        </w:rPr>
        <w:t>Latvia</w:t>
      </w:r>
      <w:proofErr w:type="spellEnd"/>
      <w:proofErr w:type="gramEnd"/>
    </w:p>
    <w:p w14:paraId="112EA06C" w14:textId="77777777" w:rsidR="005415D2" w:rsidRDefault="00083003">
      <w:pPr>
        <w:rPr>
          <w:b/>
          <w:bCs/>
          <w:color w:val="000000" w:themeColor="text1"/>
        </w:rPr>
      </w:pPr>
      <w:r>
        <w:rPr>
          <w:b/>
          <w:bCs/>
          <w:color w:val="000000" w:themeColor="text1"/>
        </w:rPr>
        <w:t xml:space="preserve">Area/Region: </w:t>
      </w:r>
      <w:proofErr w:type="spellStart"/>
      <w:r>
        <w:rPr>
          <w:color w:val="000000" w:themeColor="text1"/>
        </w:rPr>
        <w:t>Kurzeme</w:t>
      </w:r>
      <w:proofErr w:type="spellEnd"/>
      <w:r>
        <w:rPr>
          <w:color w:val="000000" w:themeColor="text1"/>
        </w:rPr>
        <w:t xml:space="preserve">, </w:t>
      </w:r>
      <w:proofErr w:type="spellStart"/>
      <w:r>
        <w:rPr>
          <w:color w:val="000000" w:themeColor="text1"/>
        </w:rPr>
        <w:t>Zemgale</w:t>
      </w:r>
      <w:proofErr w:type="spellEnd"/>
      <w:r>
        <w:rPr>
          <w:color w:val="000000" w:themeColor="text1"/>
        </w:rPr>
        <w:t>, Vidzeme, Latgale</w:t>
      </w:r>
    </w:p>
    <w:p w14:paraId="44CD18BD" w14:textId="77777777" w:rsidR="005415D2" w:rsidRDefault="00083003">
      <w:pPr>
        <w:rPr>
          <w:b/>
          <w:bCs/>
          <w:color w:val="000000" w:themeColor="text1"/>
        </w:rPr>
      </w:pPr>
      <w:r>
        <w:rPr>
          <w:b/>
          <w:bCs/>
          <w:color w:val="000000" w:themeColor="text1"/>
        </w:rPr>
        <w:t xml:space="preserve">Exclusions: </w:t>
      </w:r>
      <w:r>
        <w:rPr>
          <w:color w:val="000000" w:themeColor="text1"/>
        </w:rPr>
        <w:t>No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000000" w14:paraId="0E2AD21D" w14:textId="77777777">
        <w:trPr>
          <w:divId w:val="656108068"/>
          <w:tblCellSpacing w:w="15" w:type="dxa"/>
        </w:trPr>
        <w:tc>
          <w:tcPr>
            <w:tcW w:w="0" w:type="auto"/>
            <w:vAlign w:val="center"/>
            <w:hideMark/>
          </w:tcPr>
          <w:p w14:paraId="569404DB" w14:textId="77777777" w:rsidR="00000000" w:rsidRDefault="00052066">
            <w:pPr>
              <w:spacing w:line="260" w:lineRule="atLeast"/>
              <w:divId w:val="326830986"/>
              <w:rPr>
                <w:rFonts w:eastAsia="Times New Roman" w:cs="Arial"/>
                <w:spacing w:val="1"/>
              </w:rPr>
            </w:pPr>
            <w:proofErr w:type="gramStart"/>
            <w:r>
              <w:rPr>
                <w:rFonts w:eastAsia="Times New Roman" w:cs="Arial"/>
                <w:spacing w:val="1"/>
              </w:rPr>
              <w:t>In  Latvia</w:t>
            </w:r>
            <w:proofErr w:type="gramEnd"/>
            <w:r>
              <w:rPr>
                <w:rFonts w:eastAsia="Times New Roman" w:cs="Arial"/>
                <w:spacing w:val="1"/>
              </w:rPr>
              <w:t xml:space="preserve">,  forests  cover  area  of  3,04  million  ha.  </w:t>
            </w:r>
            <w:proofErr w:type="gramStart"/>
            <w:r>
              <w:rPr>
                <w:rFonts w:eastAsia="Times New Roman" w:cs="Arial"/>
                <w:spacing w:val="1"/>
              </w:rPr>
              <w:t>According  to</w:t>
            </w:r>
            <w:proofErr w:type="gramEnd"/>
            <w:r>
              <w:rPr>
                <w:rFonts w:eastAsia="Times New Roman" w:cs="Arial"/>
                <w:spacing w:val="1"/>
              </w:rPr>
              <w:t>  the  data  of  the  State  Forest  Service  (concerning  the  surveyed  area  allocated  to  management  activities  regulated  by  the  Forest  Law),  woodenness  amounts  to  52 </w:t>
            </w:r>
            <w:r>
              <w:rPr>
                <w:rFonts w:eastAsia="Times New Roman" w:cs="Arial"/>
                <w:spacing w:val="1"/>
              </w:rPr>
              <w:t xml:space="preserve"> %.  </w:t>
            </w:r>
            <w:proofErr w:type="gramStart"/>
            <w:r>
              <w:rPr>
                <w:rFonts w:eastAsia="Times New Roman" w:cs="Arial"/>
                <w:spacing w:val="1"/>
              </w:rPr>
              <w:t>Latvia  is</w:t>
            </w:r>
            <w:proofErr w:type="gramEnd"/>
            <w:r>
              <w:rPr>
                <w:rFonts w:eastAsia="Times New Roman" w:cs="Arial"/>
                <w:spacing w:val="1"/>
              </w:rPr>
              <w:t>  one  of  the  most  forested  EU  member  states. </w:t>
            </w:r>
            <w:r>
              <w:rPr>
                <w:rFonts w:eastAsia="Times New Roman" w:cs="Arial"/>
                <w:spacing w:val="1"/>
              </w:rPr>
              <w:t xml:space="preserve"> </w:t>
            </w:r>
          </w:p>
          <w:p w14:paraId="078B2C24" w14:textId="77777777" w:rsidR="00000000" w:rsidRDefault="00052066">
            <w:pPr>
              <w:spacing w:line="260" w:lineRule="atLeast"/>
              <w:divId w:val="656227859"/>
              <w:rPr>
                <w:rFonts w:eastAsia="Times New Roman" w:cs="Arial"/>
                <w:spacing w:val="1"/>
              </w:rPr>
            </w:pPr>
            <w:proofErr w:type="gramStart"/>
            <w:r>
              <w:rPr>
                <w:rFonts w:eastAsia="Times New Roman" w:cs="Arial"/>
                <w:spacing w:val="1"/>
              </w:rPr>
              <w:t>The  Latvian</w:t>
            </w:r>
            <w:proofErr w:type="gramEnd"/>
            <w:r>
              <w:rPr>
                <w:rFonts w:eastAsia="Times New Roman" w:cs="Arial"/>
                <w:spacing w:val="1"/>
              </w:rPr>
              <w:t xml:space="preserve">  State  owns  1,49  million  ha  of  forest  (49  %  of  the  total  forest  area),  while  the  other  1,55  million  ha  (51.  </w:t>
            </w:r>
            <w:proofErr w:type="gramStart"/>
            <w:r>
              <w:rPr>
                <w:rFonts w:eastAsia="Times New Roman" w:cs="Arial"/>
                <w:spacing w:val="1"/>
              </w:rPr>
              <w:t>%  of</w:t>
            </w:r>
            <w:proofErr w:type="gramEnd"/>
            <w:r>
              <w:rPr>
                <w:rFonts w:eastAsia="Times New Roman" w:cs="Arial"/>
                <w:spacing w:val="1"/>
              </w:rPr>
              <w:t>  the  total  forest  area)  belong  to </w:t>
            </w:r>
            <w:r>
              <w:rPr>
                <w:rFonts w:eastAsia="Times New Roman" w:cs="Arial"/>
                <w:spacing w:val="1"/>
              </w:rPr>
              <w:t xml:space="preserve"> other  owners.  </w:t>
            </w:r>
            <w:proofErr w:type="gramStart"/>
            <w:r>
              <w:rPr>
                <w:rFonts w:eastAsia="Times New Roman" w:cs="Arial"/>
                <w:spacing w:val="1"/>
              </w:rPr>
              <w:t>Forests  owned</w:t>
            </w:r>
            <w:proofErr w:type="gramEnd"/>
            <w:r>
              <w:rPr>
                <w:rFonts w:eastAsia="Times New Roman" w:cs="Arial"/>
                <w:spacing w:val="1"/>
              </w:rPr>
              <w:t xml:space="preserve">  by  the  state  are  managed  by  state  stock  company  </w:t>
            </w:r>
            <w:proofErr w:type="spellStart"/>
            <w:r>
              <w:rPr>
                <w:rFonts w:eastAsia="Times New Roman" w:cs="Arial"/>
                <w:spacing w:val="1"/>
              </w:rPr>
              <w:t>Latvijas</w:t>
            </w:r>
            <w:proofErr w:type="spellEnd"/>
            <w:r>
              <w:rPr>
                <w:rFonts w:eastAsia="Times New Roman" w:cs="Arial"/>
                <w:spacing w:val="1"/>
              </w:rPr>
              <w:t xml:space="preserve">  </w:t>
            </w:r>
            <w:proofErr w:type="spellStart"/>
            <w:r>
              <w:rPr>
                <w:rFonts w:eastAsia="Times New Roman" w:cs="Arial"/>
                <w:spacing w:val="1"/>
              </w:rPr>
              <w:t>Valsts</w:t>
            </w:r>
            <w:proofErr w:type="spellEnd"/>
            <w:r>
              <w:rPr>
                <w:rFonts w:eastAsia="Times New Roman" w:cs="Arial"/>
                <w:spacing w:val="1"/>
              </w:rPr>
              <w:t xml:space="preserve">  </w:t>
            </w:r>
            <w:proofErr w:type="spellStart"/>
            <w:r>
              <w:rPr>
                <w:rFonts w:eastAsia="Times New Roman" w:cs="Arial"/>
                <w:spacing w:val="1"/>
              </w:rPr>
              <w:t>Meži</w:t>
            </w:r>
            <w:proofErr w:type="spellEnd"/>
            <w:r>
              <w:rPr>
                <w:rFonts w:eastAsia="Times New Roman" w:cs="Arial"/>
                <w:spacing w:val="1"/>
              </w:rPr>
              <w:t xml:space="preserve">  (Latvian  State  Forests).  </w:t>
            </w:r>
            <w:proofErr w:type="gramStart"/>
            <w:r>
              <w:rPr>
                <w:rFonts w:eastAsia="Times New Roman" w:cs="Arial"/>
                <w:spacing w:val="1"/>
              </w:rPr>
              <w:t>Private  forest</w:t>
            </w:r>
            <w:proofErr w:type="gramEnd"/>
            <w:r>
              <w:rPr>
                <w:rFonts w:eastAsia="Times New Roman" w:cs="Arial"/>
                <w:spacing w:val="1"/>
              </w:rPr>
              <w:t>  owners  in  Latvia  amount  to  approximately  140 000.   </w:t>
            </w:r>
            <w:r>
              <w:rPr>
                <w:rFonts w:eastAsia="Times New Roman" w:cs="Arial"/>
                <w:spacing w:val="1"/>
              </w:rPr>
              <w:t xml:space="preserve"> </w:t>
            </w:r>
          </w:p>
          <w:p w14:paraId="012907BF" w14:textId="77777777" w:rsidR="00000000" w:rsidRDefault="00052066">
            <w:pPr>
              <w:spacing w:line="260" w:lineRule="atLeast"/>
              <w:divId w:val="1786999005"/>
              <w:rPr>
                <w:rFonts w:eastAsia="Times New Roman" w:cs="Arial"/>
                <w:spacing w:val="1"/>
              </w:rPr>
            </w:pPr>
            <w:proofErr w:type="gramStart"/>
            <w:r>
              <w:rPr>
                <w:rFonts w:eastAsia="Times New Roman" w:cs="Arial"/>
                <w:spacing w:val="1"/>
              </w:rPr>
              <w:t>Forest  land</w:t>
            </w:r>
            <w:proofErr w:type="gramEnd"/>
            <w:r>
              <w:rPr>
                <w:rFonts w:eastAsia="Times New Roman" w:cs="Arial"/>
                <w:spacing w:val="1"/>
              </w:rPr>
              <w:t>  consists  of: </w:t>
            </w:r>
            <w:r>
              <w:rPr>
                <w:rFonts w:eastAsia="Times New Roman" w:cs="Arial"/>
                <w:spacing w:val="1"/>
              </w:rPr>
              <w:t xml:space="preserve"> </w:t>
            </w:r>
          </w:p>
          <w:p w14:paraId="1E1AD360" w14:textId="77777777" w:rsidR="00000000" w:rsidRDefault="00052066">
            <w:pPr>
              <w:spacing w:line="260" w:lineRule="atLeast"/>
              <w:divId w:val="1823694200"/>
              <w:rPr>
                <w:rFonts w:eastAsia="Times New Roman" w:cs="Arial"/>
                <w:spacing w:val="1"/>
              </w:rPr>
            </w:pPr>
            <w:r>
              <w:rPr>
                <w:rFonts w:eastAsia="Times New Roman" w:cs="Arial"/>
                <w:spacing w:val="1"/>
              </w:rPr>
              <w:t xml:space="preserve">•   </w:t>
            </w:r>
            <w:proofErr w:type="gramStart"/>
            <w:r>
              <w:rPr>
                <w:rFonts w:eastAsia="Times New Roman" w:cs="Arial"/>
                <w:spacing w:val="1"/>
              </w:rPr>
              <w:t>for</w:t>
            </w:r>
            <w:r>
              <w:rPr>
                <w:rFonts w:eastAsia="Times New Roman" w:cs="Arial"/>
                <w:spacing w:val="1"/>
              </w:rPr>
              <w:t>ests  3</w:t>
            </w:r>
            <w:proofErr w:type="gramEnd"/>
            <w:r>
              <w:rPr>
                <w:rFonts w:eastAsia="Times New Roman" w:cs="Arial"/>
                <w:spacing w:val="1"/>
              </w:rPr>
              <w:t>,07m  ha  (91.3%)</w:t>
            </w:r>
            <w:r>
              <w:rPr>
                <w:rFonts w:eastAsia="Times New Roman" w:cs="Arial"/>
                <w:spacing w:val="1"/>
              </w:rPr>
              <w:t>;</w:t>
            </w:r>
          </w:p>
          <w:p w14:paraId="062BCB11" w14:textId="77777777" w:rsidR="00000000" w:rsidRDefault="00052066">
            <w:pPr>
              <w:spacing w:line="260" w:lineRule="atLeast"/>
              <w:divId w:val="1504470037"/>
              <w:rPr>
                <w:rFonts w:eastAsia="Times New Roman" w:cs="Arial"/>
                <w:spacing w:val="1"/>
              </w:rPr>
            </w:pPr>
            <w:r>
              <w:rPr>
                <w:rFonts w:eastAsia="Times New Roman" w:cs="Arial"/>
                <w:spacing w:val="1"/>
              </w:rPr>
              <w:t xml:space="preserve">•   </w:t>
            </w:r>
            <w:proofErr w:type="gramStart"/>
            <w:r>
              <w:rPr>
                <w:rFonts w:eastAsia="Times New Roman" w:cs="Arial"/>
                <w:spacing w:val="1"/>
              </w:rPr>
              <w:t>marshes  0</w:t>
            </w:r>
            <w:proofErr w:type="gramEnd"/>
            <w:r>
              <w:rPr>
                <w:rFonts w:eastAsia="Times New Roman" w:cs="Arial"/>
                <w:spacing w:val="1"/>
              </w:rPr>
              <w:t>,18m  ha  (5.3%); </w:t>
            </w:r>
            <w:r>
              <w:rPr>
                <w:rFonts w:eastAsia="Times New Roman" w:cs="Arial"/>
                <w:spacing w:val="1"/>
              </w:rPr>
              <w:t xml:space="preserve"> </w:t>
            </w:r>
          </w:p>
          <w:p w14:paraId="591A0B33" w14:textId="77777777" w:rsidR="00000000" w:rsidRDefault="00052066">
            <w:pPr>
              <w:spacing w:line="260" w:lineRule="atLeast"/>
              <w:divId w:val="739793193"/>
              <w:rPr>
                <w:rFonts w:eastAsia="Times New Roman" w:cs="Arial"/>
                <w:spacing w:val="1"/>
              </w:rPr>
            </w:pPr>
            <w:r>
              <w:rPr>
                <w:rFonts w:eastAsia="Times New Roman" w:cs="Arial"/>
                <w:spacing w:val="1"/>
              </w:rPr>
              <w:t xml:space="preserve">•   </w:t>
            </w:r>
            <w:proofErr w:type="gramStart"/>
            <w:r>
              <w:rPr>
                <w:rFonts w:eastAsia="Times New Roman" w:cs="Arial"/>
                <w:spacing w:val="1"/>
              </w:rPr>
              <w:t>open  areas</w:t>
            </w:r>
            <w:proofErr w:type="gramEnd"/>
            <w:r>
              <w:rPr>
                <w:rFonts w:eastAsia="Times New Roman" w:cs="Arial"/>
                <w:spacing w:val="1"/>
              </w:rPr>
              <w:t>  0,035m  ha  (1.1%); </w:t>
            </w:r>
            <w:r>
              <w:rPr>
                <w:rFonts w:eastAsia="Times New Roman" w:cs="Arial"/>
                <w:spacing w:val="1"/>
              </w:rPr>
              <w:t xml:space="preserve"> </w:t>
            </w:r>
          </w:p>
          <w:p w14:paraId="572C98AD" w14:textId="77777777" w:rsidR="00000000" w:rsidRDefault="00052066">
            <w:pPr>
              <w:spacing w:line="260" w:lineRule="atLeast"/>
              <w:divId w:val="277222518"/>
              <w:rPr>
                <w:rFonts w:eastAsia="Times New Roman" w:cs="Arial"/>
                <w:spacing w:val="1"/>
              </w:rPr>
            </w:pPr>
            <w:r>
              <w:rPr>
                <w:rFonts w:eastAsia="Times New Roman" w:cs="Arial"/>
                <w:spacing w:val="1"/>
              </w:rPr>
              <w:t xml:space="preserve">•   </w:t>
            </w:r>
            <w:proofErr w:type="gramStart"/>
            <w:r>
              <w:rPr>
                <w:rFonts w:eastAsia="Times New Roman" w:cs="Arial"/>
                <w:spacing w:val="1"/>
              </w:rPr>
              <w:t>flooded  areas</w:t>
            </w:r>
            <w:proofErr w:type="gramEnd"/>
            <w:r>
              <w:rPr>
                <w:rFonts w:eastAsia="Times New Roman" w:cs="Arial"/>
                <w:spacing w:val="1"/>
              </w:rPr>
              <w:t>  0,018m  ha  (0,5%); </w:t>
            </w:r>
            <w:r>
              <w:rPr>
                <w:rFonts w:eastAsia="Times New Roman" w:cs="Arial"/>
                <w:spacing w:val="1"/>
              </w:rPr>
              <w:t xml:space="preserve"> </w:t>
            </w:r>
          </w:p>
          <w:p w14:paraId="64EA11A4" w14:textId="77777777" w:rsidR="00000000" w:rsidRDefault="00052066">
            <w:pPr>
              <w:spacing w:line="260" w:lineRule="atLeast"/>
              <w:divId w:val="237909784"/>
              <w:rPr>
                <w:rFonts w:eastAsia="Times New Roman" w:cs="Arial"/>
                <w:spacing w:val="1"/>
              </w:rPr>
            </w:pPr>
            <w:r>
              <w:rPr>
                <w:rFonts w:eastAsia="Times New Roman" w:cs="Arial"/>
                <w:spacing w:val="1"/>
              </w:rPr>
              <w:t xml:space="preserve">•   </w:t>
            </w:r>
            <w:proofErr w:type="gramStart"/>
            <w:r>
              <w:rPr>
                <w:rFonts w:eastAsia="Times New Roman" w:cs="Arial"/>
                <w:spacing w:val="1"/>
              </w:rPr>
              <w:t>objects  of</w:t>
            </w:r>
            <w:proofErr w:type="gramEnd"/>
            <w:r>
              <w:rPr>
                <w:rFonts w:eastAsia="Times New Roman" w:cs="Arial"/>
                <w:spacing w:val="1"/>
              </w:rPr>
              <w:t>  infrastructure  0,062m  ha  (1.8%). </w:t>
            </w:r>
            <w:r>
              <w:rPr>
                <w:rFonts w:eastAsia="Times New Roman" w:cs="Arial"/>
                <w:spacing w:val="1"/>
              </w:rPr>
              <w:t xml:space="preserve"> </w:t>
            </w:r>
          </w:p>
          <w:p w14:paraId="02B3B6E5" w14:textId="77777777" w:rsidR="00000000" w:rsidRDefault="00052066">
            <w:pPr>
              <w:spacing w:line="260" w:lineRule="atLeast"/>
              <w:divId w:val="605430615"/>
              <w:rPr>
                <w:rFonts w:eastAsia="Times New Roman" w:cs="Arial"/>
                <w:spacing w:val="1"/>
              </w:rPr>
            </w:pPr>
            <w:proofErr w:type="gramStart"/>
            <w:r>
              <w:rPr>
                <w:rFonts w:eastAsia="Times New Roman" w:cs="Arial"/>
                <w:spacing w:val="1"/>
              </w:rPr>
              <w:t>For  most</w:t>
            </w:r>
            <w:proofErr w:type="gramEnd"/>
            <w:r>
              <w:rPr>
                <w:rFonts w:eastAsia="Times New Roman" w:cs="Arial"/>
                <w:spacing w:val="1"/>
              </w:rPr>
              <w:t xml:space="preserve">  of    forest  the  dominant  tree  species  are  </w:t>
            </w:r>
            <w:r>
              <w:rPr>
                <w:rFonts w:eastAsia="Times New Roman" w:cs="Arial"/>
                <w:spacing w:val="1"/>
              </w:rPr>
              <w:t>coniferous  trees  -</w:t>
            </w:r>
            <w:r>
              <w:rPr>
                <w:rFonts w:eastAsia="Times New Roman" w:cs="Arial"/>
                <w:spacing w:val="1"/>
              </w:rPr>
              <w:softHyphen/>
              <w:t xml:space="preserve">  pine  and  spruce.  </w:t>
            </w:r>
            <w:proofErr w:type="gramStart"/>
            <w:r>
              <w:rPr>
                <w:rFonts w:eastAsia="Times New Roman" w:cs="Arial"/>
                <w:spacing w:val="1"/>
              </w:rPr>
              <w:t>Latvia  forests</w:t>
            </w:r>
            <w:proofErr w:type="gramEnd"/>
            <w:r>
              <w:rPr>
                <w:rFonts w:eastAsia="Times New Roman" w:cs="Arial"/>
                <w:spacing w:val="1"/>
              </w:rPr>
              <w:t>  mainly  consists  of  coniferous  trees,  but  significant  part  are  also  occupied  by  other  species.  </w:t>
            </w:r>
            <w:r>
              <w:rPr>
                <w:rFonts w:eastAsia="Times New Roman" w:cs="Arial"/>
                <w:spacing w:val="1"/>
              </w:rPr>
              <w:t xml:space="preserve"> </w:t>
            </w:r>
          </w:p>
          <w:p w14:paraId="437C1B66" w14:textId="77777777" w:rsidR="00000000" w:rsidRDefault="00052066">
            <w:pPr>
              <w:spacing w:line="260" w:lineRule="atLeast"/>
              <w:divId w:val="1149709576"/>
              <w:rPr>
                <w:rFonts w:eastAsia="Times New Roman" w:cs="Arial"/>
                <w:spacing w:val="1"/>
              </w:rPr>
            </w:pPr>
            <w:proofErr w:type="gramStart"/>
            <w:r>
              <w:rPr>
                <w:rFonts w:eastAsia="Times New Roman" w:cs="Arial"/>
                <w:spacing w:val="1"/>
              </w:rPr>
              <w:t>Forest  area</w:t>
            </w:r>
            <w:proofErr w:type="gramEnd"/>
            <w:r>
              <w:rPr>
                <w:rFonts w:eastAsia="Times New Roman" w:cs="Arial"/>
                <w:spacing w:val="1"/>
              </w:rPr>
              <w:t>  by  dominant  species:   </w:t>
            </w:r>
            <w:r>
              <w:rPr>
                <w:rFonts w:eastAsia="Times New Roman" w:cs="Arial"/>
                <w:spacing w:val="1"/>
              </w:rPr>
              <w:t xml:space="preserve"> </w:t>
            </w:r>
          </w:p>
          <w:p w14:paraId="0B33F858" w14:textId="77777777" w:rsidR="00000000" w:rsidRDefault="00052066">
            <w:pPr>
              <w:spacing w:line="260" w:lineRule="atLeast"/>
              <w:divId w:val="273443254"/>
              <w:rPr>
                <w:rFonts w:eastAsia="Times New Roman" w:cs="Arial"/>
                <w:spacing w:val="1"/>
              </w:rPr>
            </w:pPr>
            <w:r>
              <w:rPr>
                <w:rFonts w:eastAsia="Times New Roman" w:cs="Arial"/>
                <w:spacing w:val="1"/>
              </w:rPr>
              <w:t xml:space="preserve">•   </w:t>
            </w:r>
            <w:proofErr w:type="gramStart"/>
            <w:r>
              <w:rPr>
                <w:rFonts w:eastAsia="Times New Roman" w:cs="Arial"/>
                <w:spacing w:val="1"/>
              </w:rPr>
              <w:t>pine  35</w:t>
            </w:r>
            <w:proofErr w:type="gramEnd"/>
            <w:r>
              <w:rPr>
                <w:rFonts w:eastAsia="Times New Roman" w:cs="Arial"/>
                <w:spacing w:val="1"/>
              </w:rPr>
              <w:t>  %</w:t>
            </w:r>
            <w:r>
              <w:rPr>
                <w:rFonts w:eastAsia="Times New Roman" w:cs="Arial"/>
                <w:spacing w:val="1"/>
              </w:rPr>
              <w:t>;</w:t>
            </w:r>
          </w:p>
          <w:p w14:paraId="63CAFBBE" w14:textId="77777777" w:rsidR="00000000" w:rsidRDefault="00052066">
            <w:pPr>
              <w:spacing w:line="260" w:lineRule="atLeast"/>
              <w:divId w:val="357433619"/>
              <w:rPr>
                <w:rFonts w:eastAsia="Times New Roman" w:cs="Arial"/>
                <w:spacing w:val="1"/>
              </w:rPr>
            </w:pPr>
            <w:r>
              <w:rPr>
                <w:rFonts w:eastAsia="Times New Roman" w:cs="Arial"/>
                <w:spacing w:val="1"/>
              </w:rPr>
              <w:t xml:space="preserve">•   </w:t>
            </w:r>
            <w:proofErr w:type="gramStart"/>
            <w:r>
              <w:rPr>
                <w:rFonts w:eastAsia="Times New Roman" w:cs="Arial"/>
                <w:spacing w:val="1"/>
              </w:rPr>
              <w:t>spruce  18.1</w:t>
            </w:r>
            <w:proofErr w:type="gramEnd"/>
            <w:r>
              <w:rPr>
                <w:rFonts w:eastAsia="Times New Roman" w:cs="Arial"/>
                <w:spacing w:val="1"/>
              </w:rPr>
              <w:t>  %; </w:t>
            </w:r>
            <w:r>
              <w:rPr>
                <w:rFonts w:eastAsia="Times New Roman" w:cs="Arial"/>
                <w:spacing w:val="1"/>
              </w:rPr>
              <w:t> </w:t>
            </w:r>
          </w:p>
          <w:p w14:paraId="7D289591" w14:textId="77777777" w:rsidR="00000000" w:rsidRDefault="00052066">
            <w:pPr>
              <w:spacing w:line="260" w:lineRule="atLeast"/>
              <w:divId w:val="1165244849"/>
              <w:rPr>
                <w:rFonts w:eastAsia="Times New Roman" w:cs="Arial"/>
                <w:spacing w:val="1"/>
              </w:rPr>
            </w:pPr>
            <w:r>
              <w:rPr>
                <w:rFonts w:eastAsia="Times New Roman" w:cs="Arial"/>
                <w:spacing w:val="1"/>
              </w:rPr>
              <w:t xml:space="preserve">•   </w:t>
            </w:r>
            <w:proofErr w:type="gramStart"/>
            <w:r>
              <w:rPr>
                <w:rFonts w:eastAsia="Times New Roman" w:cs="Arial"/>
                <w:spacing w:val="1"/>
              </w:rPr>
              <w:t>b</w:t>
            </w:r>
            <w:r>
              <w:rPr>
                <w:rFonts w:eastAsia="Times New Roman" w:cs="Arial"/>
                <w:spacing w:val="1"/>
              </w:rPr>
              <w:t>irch  30.6</w:t>
            </w:r>
            <w:proofErr w:type="gramEnd"/>
            <w:r>
              <w:rPr>
                <w:rFonts w:eastAsia="Times New Roman" w:cs="Arial"/>
                <w:spacing w:val="1"/>
              </w:rPr>
              <w:t>  %</w:t>
            </w:r>
            <w:r>
              <w:rPr>
                <w:rFonts w:eastAsia="Times New Roman" w:cs="Arial"/>
                <w:spacing w:val="1"/>
              </w:rPr>
              <w:t>;</w:t>
            </w:r>
          </w:p>
          <w:p w14:paraId="18FECAF2" w14:textId="77777777" w:rsidR="00000000" w:rsidRDefault="00052066">
            <w:pPr>
              <w:spacing w:line="260" w:lineRule="atLeast"/>
              <w:divId w:val="1439645571"/>
              <w:rPr>
                <w:rFonts w:eastAsia="Times New Roman" w:cs="Arial"/>
                <w:spacing w:val="1"/>
              </w:rPr>
            </w:pPr>
            <w:r>
              <w:rPr>
                <w:rFonts w:eastAsia="Times New Roman" w:cs="Arial"/>
                <w:spacing w:val="1"/>
              </w:rPr>
              <w:lastRenderedPageBreak/>
              <w:t xml:space="preserve">•   </w:t>
            </w:r>
            <w:proofErr w:type="spellStart"/>
            <w:proofErr w:type="gramStart"/>
            <w:r>
              <w:rPr>
                <w:rFonts w:eastAsia="Times New Roman" w:cs="Arial"/>
                <w:spacing w:val="1"/>
              </w:rPr>
              <w:t>gray</w:t>
            </w:r>
            <w:proofErr w:type="spellEnd"/>
            <w:r>
              <w:rPr>
                <w:rFonts w:eastAsia="Times New Roman" w:cs="Arial"/>
                <w:spacing w:val="1"/>
              </w:rPr>
              <w:t>  alder</w:t>
            </w:r>
            <w:proofErr w:type="gramEnd"/>
            <w:r>
              <w:rPr>
                <w:rFonts w:eastAsia="Times New Roman" w:cs="Arial"/>
                <w:spacing w:val="1"/>
              </w:rPr>
              <w:t>  7.2  %; </w:t>
            </w:r>
            <w:r>
              <w:rPr>
                <w:rFonts w:eastAsia="Times New Roman" w:cs="Arial"/>
                <w:spacing w:val="1"/>
              </w:rPr>
              <w:t> </w:t>
            </w:r>
          </w:p>
          <w:p w14:paraId="01BC75B8" w14:textId="77777777" w:rsidR="00000000" w:rsidRDefault="00052066">
            <w:pPr>
              <w:spacing w:line="260" w:lineRule="atLeast"/>
              <w:divId w:val="756024528"/>
              <w:rPr>
                <w:rFonts w:eastAsia="Times New Roman" w:cs="Arial"/>
                <w:spacing w:val="1"/>
              </w:rPr>
            </w:pPr>
            <w:r>
              <w:rPr>
                <w:rFonts w:eastAsia="Times New Roman" w:cs="Arial"/>
                <w:spacing w:val="1"/>
              </w:rPr>
              <w:t xml:space="preserve">•   </w:t>
            </w:r>
            <w:proofErr w:type="gramStart"/>
            <w:r>
              <w:rPr>
                <w:rFonts w:eastAsia="Times New Roman" w:cs="Arial"/>
                <w:spacing w:val="1"/>
              </w:rPr>
              <w:t>black  alder</w:t>
            </w:r>
            <w:proofErr w:type="gramEnd"/>
            <w:r>
              <w:rPr>
                <w:rFonts w:eastAsia="Times New Roman" w:cs="Arial"/>
                <w:spacing w:val="1"/>
              </w:rPr>
              <w:t>  2.9  %; </w:t>
            </w:r>
            <w:r>
              <w:rPr>
                <w:rFonts w:eastAsia="Times New Roman" w:cs="Arial"/>
                <w:spacing w:val="1"/>
              </w:rPr>
              <w:t xml:space="preserve"> </w:t>
            </w:r>
          </w:p>
          <w:p w14:paraId="35FCB21E" w14:textId="77777777" w:rsidR="00000000" w:rsidRDefault="00052066">
            <w:pPr>
              <w:spacing w:line="260" w:lineRule="atLeast"/>
              <w:divId w:val="684552800"/>
              <w:rPr>
                <w:rFonts w:eastAsia="Times New Roman" w:cs="Arial"/>
                <w:spacing w:val="1"/>
              </w:rPr>
            </w:pPr>
            <w:r>
              <w:rPr>
                <w:rFonts w:eastAsia="Times New Roman" w:cs="Arial"/>
                <w:spacing w:val="1"/>
              </w:rPr>
              <w:t xml:space="preserve">•   </w:t>
            </w:r>
            <w:proofErr w:type="gramStart"/>
            <w:r>
              <w:rPr>
                <w:rFonts w:eastAsia="Times New Roman" w:cs="Arial"/>
                <w:spacing w:val="1"/>
              </w:rPr>
              <w:t>aspen  5.0</w:t>
            </w:r>
            <w:proofErr w:type="gramEnd"/>
            <w:r>
              <w:rPr>
                <w:rFonts w:eastAsia="Times New Roman" w:cs="Arial"/>
                <w:spacing w:val="1"/>
              </w:rPr>
              <w:t>  %</w:t>
            </w:r>
            <w:r>
              <w:rPr>
                <w:rFonts w:eastAsia="Times New Roman" w:cs="Arial"/>
                <w:spacing w:val="1"/>
              </w:rPr>
              <w:t>;</w:t>
            </w:r>
          </w:p>
          <w:p w14:paraId="3A49EB10" w14:textId="77777777" w:rsidR="00000000" w:rsidRDefault="00052066">
            <w:pPr>
              <w:spacing w:line="260" w:lineRule="atLeast"/>
              <w:divId w:val="1903368208"/>
              <w:rPr>
                <w:rFonts w:eastAsia="Times New Roman" w:cs="Arial"/>
                <w:spacing w:val="1"/>
              </w:rPr>
            </w:pPr>
            <w:r>
              <w:rPr>
                <w:rFonts w:eastAsia="Times New Roman" w:cs="Arial"/>
                <w:spacing w:val="1"/>
              </w:rPr>
              <w:t xml:space="preserve">•   </w:t>
            </w:r>
            <w:proofErr w:type="gramStart"/>
            <w:r>
              <w:rPr>
                <w:rFonts w:eastAsia="Times New Roman" w:cs="Arial"/>
                <w:spacing w:val="1"/>
              </w:rPr>
              <w:t>oak  0.3</w:t>
            </w:r>
            <w:proofErr w:type="gramEnd"/>
            <w:r>
              <w:rPr>
                <w:rFonts w:eastAsia="Times New Roman" w:cs="Arial"/>
                <w:spacing w:val="1"/>
              </w:rPr>
              <w:t>  %</w:t>
            </w:r>
            <w:r>
              <w:rPr>
                <w:rFonts w:eastAsia="Times New Roman" w:cs="Arial"/>
                <w:spacing w:val="1"/>
              </w:rPr>
              <w:t>;</w:t>
            </w:r>
          </w:p>
          <w:p w14:paraId="40CB9E34" w14:textId="77777777" w:rsidR="00000000" w:rsidRDefault="00052066">
            <w:pPr>
              <w:spacing w:line="260" w:lineRule="atLeast"/>
              <w:divId w:val="1057707750"/>
              <w:rPr>
                <w:rFonts w:eastAsia="Times New Roman" w:cs="Arial"/>
                <w:spacing w:val="1"/>
              </w:rPr>
            </w:pPr>
            <w:r>
              <w:rPr>
                <w:rFonts w:eastAsia="Times New Roman" w:cs="Arial"/>
                <w:spacing w:val="1"/>
              </w:rPr>
              <w:t xml:space="preserve">•   </w:t>
            </w:r>
            <w:proofErr w:type="gramStart"/>
            <w:r>
              <w:rPr>
                <w:rFonts w:eastAsia="Times New Roman" w:cs="Arial"/>
                <w:spacing w:val="1"/>
              </w:rPr>
              <w:t>ash  0.5</w:t>
            </w:r>
            <w:proofErr w:type="gramEnd"/>
            <w:r>
              <w:rPr>
                <w:rFonts w:eastAsia="Times New Roman" w:cs="Arial"/>
                <w:spacing w:val="1"/>
              </w:rPr>
              <w:t>  %</w:t>
            </w:r>
            <w:r>
              <w:rPr>
                <w:rFonts w:eastAsia="Times New Roman" w:cs="Arial"/>
                <w:spacing w:val="1"/>
              </w:rPr>
              <w:t>;</w:t>
            </w:r>
          </w:p>
          <w:p w14:paraId="5E80FF1D" w14:textId="77777777" w:rsidR="00000000" w:rsidRDefault="00052066">
            <w:pPr>
              <w:spacing w:line="260" w:lineRule="atLeast"/>
              <w:divId w:val="1545601328"/>
              <w:rPr>
                <w:rFonts w:eastAsia="Times New Roman" w:cs="Arial"/>
                <w:spacing w:val="1"/>
              </w:rPr>
            </w:pPr>
            <w:r>
              <w:rPr>
                <w:rFonts w:eastAsia="Times New Roman" w:cs="Arial"/>
                <w:spacing w:val="1"/>
              </w:rPr>
              <w:t xml:space="preserve">•   </w:t>
            </w:r>
            <w:proofErr w:type="gramStart"/>
            <w:r>
              <w:rPr>
                <w:rFonts w:eastAsia="Times New Roman" w:cs="Arial"/>
                <w:spacing w:val="1"/>
              </w:rPr>
              <w:t>other  species</w:t>
            </w:r>
            <w:proofErr w:type="gramEnd"/>
            <w:r>
              <w:rPr>
                <w:rFonts w:eastAsia="Times New Roman" w:cs="Arial"/>
                <w:spacing w:val="1"/>
              </w:rPr>
              <w:t>  0.3  %. </w:t>
            </w:r>
            <w:r>
              <w:rPr>
                <w:rFonts w:eastAsia="Times New Roman" w:cs="Arial"/>
                <w:spacing w:val="1"/>
              </w:rPr>
              <w:t xml:space="preserve"> </w:t>
            </w:r>
          </w:p>
          <w:p w14:paraId="15C7EDA7" w14:textId="77777777" w:rsidR="00000000" w:rsidRDefault="00052066">
            <w:pPr>
              <w:spacing w:line="260" w:lineRule="atLeast"/>
              <w:divId w:val="573853409"/>
              <w:rPr>
                <w:rFonts w:eastAsia="Times New Roman" w:cs="Arial"/>
                <w:spacing w:val="1"/>
              </w:rPr>
            </w:pPr>
            <w:r>
              <w:rPr>
                <w:rFonts w:eastAsia="Times New Roman" w:cs="Arial"/>
                <w:spacing w:val="1"/>
              </w:rPr>
              <w:t> </w:t>
            </w:r>
            <w:r>
              <w:rPr>
                <w:rFonts w:eastAsia="Times New Roman" w:cs="Arial"/>
                <w:spacing w:val="1"/>
              </w:rPr>
              <w:t xml:space="preserve"> </w:t>
            </w:r>
          </w:p>
          <w:p w14:paraId="31F4EBA5" w14:textId="77777777" w:rsidR="00000000" w:rsidRDefault="00052066">
            <w:pPr>
              <w:spacing w:line="260" w:lineRule="atLeast"/>
              <w:divId w:val="634145952"/>
              <w:rPr>
                <w:rFonts w:eastAsia="Times New Roman" w:cs="Arial"/>
                <w:spacing w:val="1"/>
              </w:rPr>
            </w:pPr>
            <w:proofErr w:type="gramStart"/>
            <w:r>
              <w:rPr>
                <w:rFonts w:eastAsia="Times New Roman" w:cs="Arial"/>
                <w:spacing w:val="1"/>
              </w:rPr>
              <w:t>The  amount</w:t>
            </w:r>
            <w:proofErr w:type="gramEnd"/>
            <w:r>
              <w:rPr>
                <w:rFonts w:eastAsia="Times New Roman" w:cs="Arial"/>
                <w:spacing w:val="1"/>
              </w:rPr>
              <w:t>  of  forestland  is  constantly  expanding,  both  naturally  and  thanks  to  afforesta</w:t>
            </w:r>
            <w:r>
              <w:rPr>
                <w:rFonts w:eastAsia="Times New Roman" w:cs="Arial"/>
                <w:spacing w:val="1"/>
              </w:rPr>
              <w:t>tion  of  infertile  land  and  other  land  that  is  not  used  for  agriculture. </w:t>
            </w:r>
            <w:r>
              <w:rPr>
                <w:rFonts w:eastAsia="Times New Roman" w:cs="Arial"/>
                <w:spacing w:val="1"/>
              </w:rPr>
              <w:t xml:space="preserve"> </w:t>
            </w:r>
          </w:p>
          <w:p w14:paraId="1C00F9D4" w14:textId="77777777" w:rsidR="00000000" w:rsidRDefault="00052066">
            <w:pPr>
              <w:spacing w:line="260" w:lineRule="atLeast"/>
              <w:divId w:val="630356079"/>
              <w:rPr>
                <w:rFonts w:eastAsia="Times New Roman" w:cs="Arial"/>
                <w:spacing w:val="1"/>
              </w:rPr>
            </w:pPr>
            <w:proofErr w:type="gramStart"/>
            <w:r>
              <w:rPr>
                <w:rFonts w:eastAsia="Times New Roman" w:cs="Arial"/>
                <w:spacing w:val="1"/>
              </w:rPr>
              <w:t>In  historical</w:t>
            </w:r>
            <w:proofErr w:type="gramEnd"/>
            <w:r>
              <w:rPr>
                <w:rFonts w:eastAsia="Times New Roman" w:cs="Arial"/>
                <w:spacing w:val="1"/>
              </w:rPr>
              <w:t>  terms,  the  intensive  use  of  Latvia’s  forests  for  economic  purposes  began  comparatively  later  than  in  many  other  European  countries,  and</w:t>
            </w:r>
            <w:r>
              <w:rPr>
                <w:rFonts w:eastAsia="Times New Roman" w:cs="Arial"/>
                <w:spacing w:val="1"/>
              </w:rPr>
              <w:t xml:space="preserve">  that  has  allowed  to  preserve  extensive  biological  diversity.  </w:t>
            </w:r>
            <w:proofErr w:type="gramStart"/>
            <w:r>
              <w:rPr>
                <w:rFonts w:eastAsia="Times New Roman" w:cs="Arial"/>
                <w:spacing w:val="1"/>
              </w:rPr>
              <w:t>Limitations  on</w:t>
            </w:r>
            <w:proofErr w:type="gramEnd"/>
            <w:r>
              <w:rPr>
                <w:rFonts w:eastAsia="Times New Roman" w:cs="Arial"/>
                <w:spacing w:val="1"/>
              </w:rPr>
              <w:t xml:space="preserve">  economic  activity  apply  to  12%  of  Latvia’s  forests  at  this  time,  and  most  of  this  territory  is  owned  by  the  state.  </w:t>
            </w:r>
            <w:proofErr w:type="gramStart"/>
            <w:r>
              <w:rPr>
                <w:rFonts w:eastAsia="Times New Roman" w:cs="Arial"/>
                <w:spacing w:val="1"/>
              </w:rPr>
              <w:t>683  especially</w:t>
            </w:r>
            <w:proofErr w:type="gramEnd"/>
            <w:r>
              <w:rPr>
                <w:rFonts w:eastAsia="Times New Roman" w:cs="Arial"/>
                <w:spacing w:val="1"/>
              </w:rPr>
              <w:t>  protected  envi</w:t>
            </w:r>
            <w:r>
              <w:rPr>
                <w:rFonts w:eastAsia="Times New Roman" w:cs="Arial"/>
                <w:spacing w:val="1"/>
              </w:rPr>
              <w:t xml:space="preserve">ronmental  territories  have  been  set  aside  to  protect  nature.  </w:t>
            </w:r>
            <w:proofErr w:type="gramStart"/>
            <w:r>
              <w:rPr>
                <w:rFonts w:eastAsia="Times New Roman" w:cs="Arial"/>
                <w:spacing w:val="1"/>
              </w:rPr>
              <w:t>Many  of</w:t>
            </w:r>
            <w:proofErr w:type="gramEnd"/>
            <w:r>
              <w:rPr>
                <w:rFonts w:eastAsia="Times New Roman" w:cs="Arial"/>
                <w:spacing w:val="1"/>
              </w:rPr>
              <w:t>  the  areas  have  been  included  in  the  European  network  of  protected  areas  Natura  2000.   In order to ensure the protection of a specially protected species or a biot</w:t>
            </w:r>
            <w:r>
              <w:rPr>
                <w:rFonts w:eastAsia="Times New Roman" w:cs="Arial"/>
                <w:spacing w:val="1"/>
              </w:rPr>
              <w:t xml:space="preserve">ope outside specially protected nature territories, micro-reserves are created, if any of the functional zones does not provide it. According to the </w:t>
            </w:r>
            <w:proofErr w:type="gramStart"/>
            <w:r>
              <w:rPr>
                <w:rFonts w:eastAsia="Times New Roman" w:cs="Arial"/>
                <w:spacing w:val="1"/>
              </w:rPr>
              <w:t>State forest</w:t>
            </w:r>
            <w:proofErr w:type="gramEnd"/>
            <w:r>
              <w:rPr>
                <w:rFonts w:eastAsia="Times New Roman" w:cs="Arial"/>
                <w:spacing w:val="1"/>
              </w:rPr>
              <w:t xml:space="preserve"> service, the total area of the micro-reserves in December 2019 was 45 100 ha.</w:t>
            </w:r>
            <w:r>
              <w:rPr>
                <w:rFonts w:eastAsia="Times New Roman" w:cs="Arial"/>
                <w:spacing w:val="1"/>
              </w:rPr>
              <w:t xml:space="preserve"> </w:t>
            </w:r>
          </w:p>
          <w:p w14:paraId="6C7CE82B" w14:textId="77777777" w:rsidR="00000000" w:rsidRDefault="00052066">
            <w:pPr>
              <w:spacing w:line="260" w:lineRule="atLeast"/>
              <w:divId w:val="1454591523"/>
              <w:rPr>
                <w:rFonts w:eastAsia="Times New Roman" w:cs="Arial"/>
                <w:spacing w:val="1"/>
              </w:rPr>
            </w:pPr>
            <w:proofErr w:type="gramStart"/>
            <w:r>
              <w:rPr>
                <w:rFonts w:eastAsia="Times New Roman" w:cs="Arial"/>
                <w:spacing w:val="1"/>
              </w:rPr>
              <w:t>The  forest</w:t>
            </w:r>
            <w:proofErr w:type="gramEnd"/>
            <w:r>
              <w:rPr>
                <w:rFonts w:eastAsia="Times New Roman" w:cs="Arial"/>
                <w:spacing w:val="1"/>
              </w:rPr>
              <w:t>  se</w:t>
            </w:r>
            <w:r>
              <w:rPr>
                <w:rFonts w:eastAsia="Times New Roman" w:cs="Arial"/>
                <w:spacing w:val="1"/>
              </w:rPr>
              <w:t xml:space="preserve">ctor  in  Latvia  is  under  the  supervision  of  the  Ministry  of  Agriculture.  </w:t>
            </w:r>
            <w:proofErr w:type="gramStart"/>
            <w:r>
              <w:rPr>
                <w:rFonts w:eastAsia="Times New Roman" w:cs="Arial"/>
                <w:spacing w:val="1"/>
              </w:rPr>
              <w:t>It  works</w:t>
            </w:r>
            <w:proofErr w:type="gramEnd"/>
            <w:r>
              <w:rPr>
                <w:rFonts w:eastAsia="Times New Roman" w:cs="Arial"/>
                <w:spacing w:val="1"/>
              </w:rPr>
              <w:t>  with  stakeholders  to  draft  forest  policies,  development  strategies  for  the  sector,  as  well  as  regulations  on  forest  management,  the  use  of  f</w:t>
            </w:r>
            <w:r>
              <w:rPr>
                <w:rFonts w:eastAsia="Times New Roman" w:cs="Arial"/>
                <w:spacing w:val="1"/>
              </w:rPr>
              <w:t>orest  resources,  environment  protection  and  hunting.   </w:t>
            </w:r>
            <w:r>
              <w:rPr>
                <w:rFonts w:eastAsia="Times New Roman" w:cs="Arial"/>
                <w:spacing w:val="1"/>
              </w:rPr>
              <w:t xml:space="preserve"> </w:t>
            </w:r>
          </w:p>
          <w:p w14:paraId="0EE3B5A1" w14:textId="77777777" w:rsidR="00000000" w:rsidRDefault="00052066">
            <w:pPr>
              <w:spacing w:line="260" w:lineRule="atLeast"/>
              <w:divId w:val="620184053"/>
              <w:rPr>
                <w:rFonts w:eastAsia="Times New Roman" w:cs="Arial"/>
                <w:spacing w:val="1"/>
              </w:rPr>
            </w:pPr>
            <w:proofErr w:type="gramStart"/>
            <w:r>
              <w:rPr>
                <w:rFonts w:eastAsia="Times New Roman" w:cs="Arial"/>
                <w:spacing w:val="1"/>
              </w:rPr>
              <w:t>The  state</w:t>
            </w:r>
            <w:proofErr w:type="gramEnd"/>
            <w:r>
              <w:rPr>
                <w:rFonts w:eastAsia="Times New Roman" w:cs="Arial"/>
                <w:spacing w:val="1"/>
              </w:rPr>
              <w:t>  forest  service,  under  the  Ministry  of  Agriculture,  is  the  responsible  agency  for  supervising  how  the  provisions  of  the  laws  and  regulations  are  observed  in  fo</w:t>
            </w:r>
            <w:r>
              <w:rPr>
                <w:rFonts w:eastAsia="Times New Roman" w:cs="Arial"/>
                <w:spacing w:val="1"/>
              </w:rPr>
              <w:t>rest  management  irrespective  of  the  ownership  type. </w:t>
            </w:r>
            <w:r>
              <w:rPr>
                <w:rFonts w:eastAsia="Times New Roman" w:cs="Arial"/>
                <w:spacing w:val="1"/>
              </w:rPr>
              <w:t xml:space="preserve"> </w:t>
            </w:r>
          </w:p>
          <w:p w14:paraId="50BBACA4" w14:textId="77777777" w:rsidR="00000000" w:rsidRDefault="00052066">
            <w:pPr>
              <w:spacing w:line="260" w:lineRule="atLeast"/>
              <w:divId w:val="1980307362"/>
              <w:rPr>
                <w:rFonts w:eastAsia="Times New Roman" w:cs="Arial"/>
                <w:spacing w:val="1"/>
              </w:rPr>
            </w:pPr>
            <w:r>
              <w:rPr>
                <w:rFonts w:eastAsia="Times New Roman" w:cs="Arial"/>
                <w:spacing w:val="1"/>
              </w:rPr>
              <w:t>State-</w:t>
            </w:r>
            <w:r>
              <w:rPr>
                <w:rFonts w:eastAsia="Times New Roman" w:cs="Arial"/>
                <w:spacing w:val="1"/>
              </w:rPr>
              <w:softHyphen/>
            </w:r>
            <w:proofErr w:type="gramStart"/>
            <w:r>
              <w:rPr>
                <w:rFonts w:eastAsia="Times New Roman" w:cs="Arial"/>
                <w:spacing w:val="1"/>
              </w:rPr>
              <w:t>owned  forests</w:t>
            </w:r>
            <w:proofErr w:type="gramEnd"/>
            <w:r>
              <w:rPr>
                <w:rFonts w:eastAsia="Times New Roman" w:cs="Arial"/>
                <w:spacing w:val="1"/>
              </w:rPr>
              <w:t xml:space="preserve">  are  managed  by  Stock  Company  “Latvian  State  Forests”,  which  was  established  in  1999.  </w:t>
            </w:r>
            <w:proofErr w:type="gramStart"/>
            <w:r>
              <w:rPr>
                <w:rFonts w:eastAsia="Times New Roman" w:cs="Arial"/>
                <w:spacing w:val="1"/>
              </w:rPr>
              <w:t>It  implements</w:t>
            </w:r>
            <w:proofErr w:type="gramEnd"/>
            <w:r>
              <w:rPr>
                <w:rFonts w:eastAsia="Times New Roman" w:cs="Arial"/>
                <w:spacing w:val="1"/>
              </w:rPr>
              <w:t>  the  state’s  interests  in  terms  of  preserving  and  in</w:t>
            </w:r>
            <w:r>
              <w:rPr>
                <w:rFonts w:eastAsia="Times New Roman" w:cs="Arial"/>
                <w:spacing w:val="1"/>
              </w:rPr>
              <w:t>creasing  the  value  of  the  forest  and  enhancing  the  contributions  of  the  forest  to  the  national  economy. </w:t>
            </w:r>
            <w:r>
              <w:rPr>
                <w:rFonts w:eastAsia="Times New Roman" w:cs="Arial"/>
                <w:spacing w:val="1"/>
              </w:rPr>
              <w:t xml:space="preserve"> </w:t>
            </w:r>
          </w:p>
          <w:p w14:paraId="4ADAF089" w14:textId="77777777" w:rsidR="00000000" w:rsidRDefault="00052066">
            <w:pPr>
              <w:spacing w:line="260" w:lineRule="atLeast"/>
              <w:divId w:val="871068805"/>
              <w:rPr>
                <w:rFonts w:eastAsia="Times New Roman" w:cs="Arial"/>
                <w:spacing w:val="1"/>
              </w:rPr>
            </w:pPr>
            <w:r>
              <w:rPr>
                <w:rFonts w:eastAsia="Times New Roman" w:cs="Arial"/>
                <w:spacing w:val="1"/>
              </w:rPr>
              <w:t xml:space="preserve">During   the   past   </w:t>
            </w:r>
            <w:proofErr w:type="gramStart"/>
            <w:r>
              <w:rPr>
                <w:rFonts w:eastAsia="Times New Roman" w:cs="Arial"/>
                <w:spacing w:val="1"/>
              </w:rPr>
              <w:t xml:space="preserve">decade,   </w:t>
            </w:r>
            <w:proofErr w:type="gramEnd"/>
            <w:r>
              <w:rPr>
                <w:rFonts w:eastAsia="Times New Roman" w:cs="Arial"/>
                <w:spacing w:val="1"/>
              </w:rPr>
              <w:t>forest   owners   and   manufacturing   companies   in   Latvia   have   sought   to   receive  certif</w:t>
            </w:r>
            <w:r>
              <w:rPr>
                <w:rFonts w:eastAsia="Times New Roman" w:cs="Arial"/>
                <w:spacing w:val="1"/>
              </w:rPr>
              <w:t xml:space="preserve">ication  of  the  sustainable  use  of  forest  resources.  </w:t>
            </w:r>
            <w:proofErr w:type="gramStart"/>
            <w:r>
              <w:rPr>
                <w:rFonts w:eastAsia="Times New Roman" w:cs="Arial"/>
                <w:spacing w:val="1"/>
              </w:rPr>
              <w:t>Forest  management</w:t>
            </w:r>
            <w:proofErr w:type="gramEnd"/>
            <w:r>
              <w:rPr>
                <w:rFonts w:eastAsia="Times New Roman" w:cs="Arial"/>
                <w:spacing w:val="1"/>
              </w:rPr>
              <w:t>  processes  and  timber  product  delivery  chains  in  Latvia  are  certified  on  the  basis  of  the  two  most  widely  used  systems  in  the  world  –  FSC  and  PEFC.   T</w:t>
            </w:r>
            <w:r>
              <w:rPr>
                <w:rFonts w:eastAsia="Times New Roman" w:cs="Arial"/>
                <w:spacing w:val="1"/>
              </w:rPr>
              <w:t xml:space="preserve">his   proves   that   the   country’s   forests   are   managed   according   to   internationally   </w:t>
            </w:r>
            <w:proofErr w:type="gramStart"/>
            <w:r>
              <w:rPr>
                <w:rFonts w:eastAsia="Times New Roman" w:cs="Arial"/>
                <w:spacing w:val="1"/>
              </w:rPr>
              <w:t>acknowledged  standards</w:t>
            </w:r>
            <w:proofErr w:type="gramEnd"/>
            <w:r>
              <w:rPr>
                <w:rFonts w:eastAsia="Times New Roman" w:cs="Arial"/>
                <w:spacing w:val="1"/>
              </w:rPr>
              <w:t>  of  good  forestry. </w:t>
            </w:r>
            <w:r>
              <w:rPr>
                <w:rFonts w:eastAsia="Times New Roman" w:cs="Arial"/>
                <w:spacing w:val="1"/>
              </w:rPr>
              <w:t xml:space="preserve"> </w:t>
            </w:r>
          </w:p>
          <w:p w14:paraId="4C4A9342" w14:textId="77777777" w:rsidR="00000000" w:rsidRDefault="00052066">
            <w:pPr>
              <w:spacing w:line="260" w:lineRule="atLeast"/>
              <w:divId w:val="1039738911"/>
              <w:rPr>
                <w:rFonts w:eastAsia="Times New Roman" w:cs="Arial"/>
                <w:spacing w:val="1"/>
              </w:rPr>
            </w:pPr>
            <w:proofErr w:type="gramStart"/>
            <w:r>
              <w:rPr>
                <w:rFonts w:eastAsia="Times New Roman" w:cs="Arial"/>
                <w:spacing w:val="1"/>
              </w:rPr>
              <w:t>In  December</w:t>
            </w:r>
            <w:proofErr w:type="gramEnd"/>
            <w:r>
              <w:rPr>
                <w:rFonts w:eastAsia="Times New Roman" w:cs="Arial"/>
                <w:spacing w:val="1"/>
              </w:rPr>
              <w:t>  2021  total  PEFC  Certified  Forest  Area  in  Latvia  was  1 748 599  hectares  and  85  Cha</w:t>
            </w:r>
            <w:r>
              <w:rPr>
                <w:rFonts w:eastAsia="Times New Roman" w:cs="Arial"/>
                <w:spacing w:val="1"/>
              </w:rPr>
              <w:t>in  of  Custody  Certificates.              </w:t>
            </w:r>
            <w:r>
              <w:rPr>
                <w:rFonts w:eastAsia="Times New Roman" w:cs="Arial"/>
                <w:spacing w:val="1"/>
              </w:rPr>
              <w:t> </w:t>
            </w:r>
          </w:p>
          <w:p w14:paraId="64001C7F" w14:textId="77777777" w:rsidR="00000000" w:rsidRDefault="00052066">
            <w:pPr>
              <w:spacing w:line="260" w:lineRule="atLeast"/>
              <w:divId w:val="907301780"/>
              <w:rPr>
                <w:rFonts w:eastAsia="Times New Roman" w:cs="Arial"/>
                <w:spacing w:val="1"/>
              </w:rPr>
            </w:pPr>
            <w:proofErr w:type="gramStart"/>
            <w:r>
              <w:rPr>
                <w:rFonts w:eastAsia="Times New Roman" w:cs="Arial"/>
                <w:spacing w:val="1"/>
              </w:rPr>
              <w:t>In  December</w:t>
            </w:r>
            <w:proofErr w:type="gramEnd"/>
            <w:r>
              <w:rPr>
                <w:rFonts w:eastAsia="Times New Roman" w:cs="Arial"/>
                <w:spacing w:val="1"/>
              </w:rPr>
              <w:t>  2021  total  FSC  Certified  Forest  Area  in  Latvia  was  1 227 270  hectares , 16 Forest Management Certificates   and  346  Chain  of  Custody  Certificates.   </w:t>
            </w:r>
            <w:r>
              <w:rPr>
                <w:rFonts w:eastAsia="Times New Roman" w:cs="Arial"/>
                <w:spacing w:val="1"/>
              </w:rPr>
              <w:t xml:space="preserve"> </w:t>
            </w:r>
          </w:p>
          <w:p w14:paraId="735225F3" w14:textId="77777777" w:rsidR="00000000" w:rsidRDefault="00052066">
            <w:pPr>
              <w:spacing w:line="260" w:lineRule="atLeast"/>
              <w:divId w:val="22902103"/>
              <w:rPr>
                <w:rFonts w:eastAsia="Times New Roman" w:cs="Arial"/>
                <w:spacing w:val="1"/>
              </w:rPr>
            </w:pPr>
            <w:proofErr w:type="gramStart"/>
            <w:r>
              <w:rPr>
                <w:rFonts w:eastAsia="Times New Roman" w:cs="Arial"/>
                <w:spacing w:val="1"/>
              </w:rPr>
              <w:t>CITES  came</w:t>
            </w:r>
            <w:proofErr w:type="gramEnd"/>
            <w:r>
              <w:rPr>
                <w:rFonts w:eastAsia="Times New Roman" w:cs="Arial"/>
                <w:spacing w:val="1"/>
              </w:rPr>
              <w:t>  into  force  in </w:t>
            </w:r>
            <w:r>
              <w:rPr>
                <w:rFonts w:eastAsia="Times New Roman" w:cs="Arial"/>
                <w:spacing w:val="1"/>
              </w:rPr>
              <w:t xml:space="preserve"> Latvia  on  12/05/1997. </w:t>
            </w:r>
          </w:p>
          <w:p w14:paraId="3186D81C" w14:textId="77777777" w:rsidR="00000000" w:rsidRDefault="00052066">
            <w:pPr>
              <w:spacing w:line="260" w:lineRule="atLeast"/>
              <w:divId w:val="1088229692"/>
              <w:rPr>
                <w:rFonts w:eastAsia="Times New Roman" w:cs="Arial"/>
                <w:spacing w:val="1"/>
              </w:rPr>
            </w:pPr>
            <w:r>
              <w:rPr>
                <w:rFonts w:asciiTheme="minorHAnsi" w:hAnsiTheme="minorHAnsi"/>
                <w:noProof/>
                <w:sz w:val="22"/>
                <w:szCs w:val="22"/>
              </w:rPr>
              <w:lastRenderedPageBreak/>
              <w:drawing>
                <wp:inline distT="0" distB="0" distL="0" distR="0">
                  <wp:extent cx="6096000" cy="792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7924800"/>
                          </a:xfrm>
                          <a:prstGeom prst="rect">
                            <a:avLst/>
                          </a:prstGeom>
                          <a:noFill/>
                          <a:ln>
                            <a:noFill/>
                          </a:ln>
                        </pic:spPr>
                      </pic:pic>
                    </a:graphicData>
                  </a:graphic>
                </wp:inline>
              </w:drawing>
            </w:r>
          </w:p>
          <w:p w14:paraId="1D1D7554" w14:textId="77777777" w:rsidR="00000000" w:rsidRDefault="00052066">
            <w:pPr>
              <w:spacing w:line="260" w:lineRule="atLeast"/>
              <w:divId w:val="946814640"/>
              <w:rPr>
                <w:rFonts w:eastAsia="Times New Roman" w:cs="Arial"/>
                <w:spacing w:val="1"/>
              </w:rPr>
            </w:pPr>
            <w:r>
              <w:rPr>
                <w:rFonts w:eastAsia="Times New Roman" w:cs="Arial"/>
                <w:b/>
                <w:bCs/>
                <w:spacing w:val="1"/>
              </w:rPr>
              <w:t> </w:t>
            </w:r>
          </w:p>
        </w:tc>
      </w:tr>
    </w:tbl>
    <w:p w14:paraId="1BCB57A9" w14:textId="77777777" w:rsidR="00000000" w:rsidRDefault="00052066">
      <w:pPr>
        <w:spacing w:line="260" w:lineRule="atLeast"/>
        <w:divId w:val="936250117"/>
        <w:rPr>
          <w:rFonts w:eastAsia="Times New Roman" w:cs="Arial"/>
          <w:spacing w:val="1"/>
        </w:rPr>
      </w:pPr>
    </w:p>
    <w:p w14:paraId="62EEBFEA" w14:textId="77777777" w:rsidR="00000000" w:rsidRDefault="00052066">
      <w:pPr>
        <w:spacing w:line="260" w:lineRule="atLeast"/>
        <w:divId w:val="1332294695"/>
        <w:rPr>
          <w:rFonts w:eastAsia="Times New Roman" w:cs="Arial"/>
          <w:spacing w:val="1"/>
        </w:rPr>
      </w:pPr>
      <w:r>
        <w:rPr>
          <w:rFonts w:eastAsia="Times New Roman" w:cs="Arial"/>
          <w:spacing w:val="1"/>
        </w:rPr>
        <w:lastRenderedPageBreak/>
        <w:t>The forest sector in Latvia is traditionally one of the most important sectors of the national economy. The share of the forest sector in the gross dome</w:t>
      </w:r>
      <w:r>
        <w:rPr>
          <w:rFonts w:eastAsia="Times New Roman" w:cs="Arial"/>
          <w:spacing w:val="1"/>
        </w:rPr>
        <w:t>stic product is about six percent. The added value of forest sector products has increased significantly - from 295 million euros in 2000 to 1.4 billion euros in 2020.</w:t>
      </w:r>
    </w:p>
    <w:p w14:paraId="7C4565D2" w14:textId="77777777" w:rsidR="00000000" w:rsidRDefault="00052066">
      <w:pPr>
        <w:spacing w:line="260" w:lineRule="atLeast"/>
        <w:divId w:val="1681812937"/>
        <w:rPr>
          <w:rFonts w:eastAsia="Times New Roman" w:cs="Arial"/>
          <w:spacing w:val="1"/>
        </w:rPr>
      </w:pPr>
      <w:r>
        <w:rPr>
          <w:rFonts w:eastAsia="Times New Roman" w:cs="Arial"/>
          <w:spacing w:val="1"/>
        </w:rPr>
        <w:t>Since 1993, the total export contribution of wood products has reached 21 billion euros,</w:t>
      </w:r>
      <w:r>
        <w:rPr>
          <w:rFonts w:eastAsia="Times New Roman" w:cs="Arial"/>
          <w:spacing w:val="1"/>
        </w:rPr>
        <w:t xml:space="preserve"> with a positive export-import balance in these years - 15 billion euros.</w:t>
      </w:r>
    </w:p>
    <w:p w14:paraId="0D60261F" w14:textId="77777777" w:rsidR="00000000" w:rsidRDefault="00052066">
      <w:pPr>
        <w:spacing w:line="260" w:lineRule="atLeast"/>
        <w:divId w:val="1825051867"/>
        <w:rPr>
          <w:rFonts w:eastAsia="Times New Roman" w:cs="Arial"/>
          <w:spacing w:val="1"/>
        </w:rPr>
      </w:pPr>
      <w:r>
        <w:rPr>
          <w:rFonts w:eastAsia="Times New Roman" w:cs="Arial"/>
          <w:spacing w:val="1"/>
        </w:rPr>
        <w:t>The forest sector plays a key role in providing employment for the population. The sector directly employs more than 54 thousand people, while together with related industries, fores</w:t>
      </w:r>
      <w:r>
        <w:rPr>
          <w:rFonts w:eastAsia="Times New Roman" w:cs="Arial"/>
          <w:spacing w:val="1"/>
        </w:rPr>
        <w:t>try and the forest sector provide income for more than 80 thousand people. The forest sector plays a particularly important role in regional development and regional employment. For example, in the wood industry, about 80% of jobs are located in one of the</w:t>
      </w:r>
      <w:r>
        <w:rPr>
          <w:rFonts w:eastAsia="Times New Roman" w:cs="Arial"/>
          <w:spacing w:val="1"/>
        </w:rPr>
        <w:t xml:space="preserve"> regions of Latvia, and only 20% of jobs are located in Riga.</w:t>
      </w:r>
    </w:p>
    <w:p w14:paraId="3CA33E6A" w14:textId="77777777" w:rsidR="00000000" w:rsidRDefault="00052066">
      <w:pPr>
        <w:spacing w:line="260" w:lineRule="atLeast"/>
        <w:divId w:val="574978491"/>
        <w:rPr>
          <w:rFonts w:eastAsia="Times New Roman" w:cs="Arial"/>
          <w:spacing w:val="1"/>
        </w:rPr>
      </w:pPr>
    </w:p>
    <w:p w14:paraId="5D9E4977" w14:textId="77777777" w:rsidR="00000000" w:rsidRDefault="00052066">
      <w:pPr>
        <w:spacing w:line="260" w:lineRule="atLeast"/>
        <w:divId w:val="812523023"/>
        <w:rPr>
          <w:rFonts w:eastAsia="Times New Roman" w:cs="Arial"/>
          <w:spacing w:val="1"/>
        </w:rPr>
      </w:pPr>
      <w:r>
        <w:rPr>
          <w:rFonts w:eastAsia="Times New Roman" w:cs="Arial"/>
          <w:spacing w:val="1"/>
        </w:rPr>
        <w:t>SIA PATA has 13 suppliers of SBP feedstock in Latvia. 6 of them deliver SBP-compliant Primary Feedstock from mix trees species, and 7 of them deliver SBP-compliant Secondary Feedstock from mix</w:t>
      </w:r>
      <w:r>
        <w:rPr>
          <w:rFonts w:eastAsia="Times New Roman" w:cs="Arial"/>
          <w:spacing w:val="1"/>
        </w:rPr>
        <w:t xml:space="preserve"> trees species.</w:t>
      </w:r>
    </w:p>
    <w:p w14:paraId="6E73A7A0" w14:textId="77777777" w:rsidR="005415D2" w:rsidRDefault="005415D2">
      <w:pPr>
        <w:spacing w:after="0" w:line="240" w:lineRule="auto"/>
        <w:rPr>
          <w:rFonts w:cstheme="minorHAnsi"/>
          <w:lang w:val="en-US" w:eastAsia="nl-NL"/>
        </w:rPr>
      </w:pPr>
    </w:p>
    <w:p w14:paraId="65F294C4" w14:textId="6FA02FB0" w:rsidR="005415D2" w:rsidRDefault="005415D2">
      <w:pPr>
        <w:spacing w:after="0" w:line="240" w:lineRule="auto"/>
        <w:rPr>
          <w:rFonts w:cs="Arial"/>
          <w:lang w:val="en-US" w:eastAsia="nl-NL"/>
        </w:rPr>
      </w:pPr>
    </w:p>
    <w:p w14:paraId="1C7535B8" w14:textId="77777777" w:rsidR="005415D2" w:rsidRDefault="005415D2">
      <w:pPr>
        <w:spacing w:after="0" w:line="240" w:lineRule="auto"/>
        <w:rPr>
          <w:rFonts w:cstheme="minorHAnsi"/>
          <w:lang w:val="en-US" w:eastAsia="nl-NL"/>
        </w:rPr>
      </w:pPr>
    </w:p>
    <w:p w14:paraId="579AA55D" w14:textId="77777777" w:rsidR="005415D2" w:rsidRDefault="00083003">
      <w:pPr>
        <w:rPr>
          <w:color w:val="000000" w:themeColor="text1"/>
        </w:rPr>
      </w:pPr>
      <w:proofErr w:type="spellStart"/>
      <w:proofErr w:type="gramStart"/>
      <w:r>
        <w:rPr>
          <w:b/>
          <w:bCs/>
          <w:color w:val="000000" w:themeColor="text1"/>
        </w:rPr>
        <w:t>Country:</w:t>
      </w:r>
      <w:r>
        <w:rPr>
          <w:color w:val="000000" w:themeColor="text1"/>
        </w:rPr>
        <w:t>Lithuania</w:t>
      </w:r>
      <w:proofErr w:type="spellEnd"/>
      <w:proofErr w:type="gramEnd"/>
    </w:p>
    <w:p w14:paraId="62C6D299" w14:textId="77777777" w:rsidR="005415D2" w:rsidRDefault="00083003">
      <w:pPr>
        <w:rPr>
          <w:b/>
          <w:bCs/>
          <w:color w:val="000000" w:themeColor="text1"/>
        </w:rPr>
      </w:pPr>
      <w:r>
        <w:rPr>
          <w:b/>
          <w:bCs/>
          <w:color w:val="000000" w:themeColor="text1"/>
        </w:rPr>
        <w:t xml:space="preserve">Area/Region: </w:t>
      </w:r>
      <w:proofErr w:type="spellStart"/>
      <w:r>
        <w:rPr>
          <w:color w:val="000000" w:themeColor="text1"/>
        </w:rPr>
        <w:t>Aukštaitija</w:t>
      </w:r>
      <w:proofErr w:type="spellEnd"/>
      <w:r>
        <w:rPr>
          <w:color w:val="000000" w:themeColor="text1"/>
        </w:rPr>
        <w:t xml:space="preserve">, </w:t>
      </w:r>
      <w:proofErr w:type="spellStart"/>
      <w:r>
        <w:rPr>
          <w:color w:val="000000" w:themeColor="text1"/>
        </w:rPr>
        <w:t>Samogitia</w:t>
      </w:r>
      <w:proofErr w:type="spellEnd"/>
      <w:r>
        <w:rPr>
          <w:color w:val="000000" w:themeColor="text1"/>
        </w:rPr>
        <w:t xml:space="preserve">, </w:t>
      </w:r>
      <w:proofErr w:type="spellStart"/>
      <w:r>
        <w:rPr>
          <w:color w:val="000000" w:themeColor="text1"/>
        </w:rPr>
        <w:t>Dzūkija</w:t>
      </w:r>
      <w:proofErr w:type="spellEnd"/>
      <w:r>
        <w:rPr>
          <w:color w:val="000000" w:themeColor="text1"/>
        </w:rPr>
        <w:t xml:space="preserve">, </w:t>
      </w:r>
      <w:proofErr w:type="spellStart"/>
      <w:r>
        <w:rPr>
          <w:color w:val="000000" w:themeColor="text1"/>
        </w:rPr>
        <w:t>Suvalkija</w:t>
      </w:r>
      <w:proofErr w:type="spellEnd"/>
      <w:r>
        <w:rPr>
          <w:color w:val="000000" w:themeColor="text1"/>
        </w:rPr>
        <w:t>, Lithuania Minor</w:t>
      </w:r>
    </w:p>
    <w:p w14:paraId="008A346B" w14:textId="77777777" w:rsidR="005415D2" w:rsidRDefault="00083003">
      <w:pPr>
        <w:rPr>
          <w:b/>
          <w:bCs/>
          <w:color w:val="000000" w:themeColor="text1"/>
        </w:rPr>
      </w:pPr>
      <w:r>
        <w:rPr>
          <w:b/>
          <w:bCs/>
          <w:color w:val="000000" w:themeColor="text1"/>
        </w:rPr>
        <w:t xml:space="preserve">Exclusions: </w:t>
      </w:r>
      <w:r>
        <w:rPr>
          <w:color w:val="000000" w:themeColor="text1"/>
        </w:rPr>
        <w:t>No</w:t>
      </w:r>
    </w:p>
    <w:p w14:paraId="059E356E" w14:textId="77777777" w:rsidR="00000000" w:rsidRDefault="00052066">
      <w:pPr>
        <w:spacing w:line="260" w:lineRule="atLeast"/>
        <w:divId w:val="1359509280"/>
        <w:rPr>
          <w:rFonts w:eastAsia="Times New Roman" w:cs="Arial"/>
          <w:spacing w:val="1"/>
        </w:rPr>
      </w:pPr>
      <w:proofErr w:type="gramStart"/>
      <w:r>
        <w:rPr>
          <w:rFonts w:eastAsia="Times New Roman" w:cs="Arial"/>
          <w:spacing w:val="1"/>
        </w:rPr>
        <w:t>Forests  cover</w:t>
      </w:r>
      <w:proofErr w:type="gramEnd"/>
      <w:r>
        <w:rPr>
          <w:rFonts w:eastAsia="Times New Roman" w:cs="Arial"/>
          <w:spacing w:val="1"/>
        </w:rPr>
        <w:t xml:space="preserve">  amounts  to  33.3  per  cent  of  the  territory  of  the  Republic  of  Lithuania  and  forest  land  constitute  an  area  of  2  178  958  hectares  as  of  31st  December  2017.  </w:t>
      </w:r>
      <w:proofErr w:type="gramStart"/>
      <w:r>
        <w:rPr>
          <w:rFonts w:eastAsia="Times New Roman" w:cs="Arial"/>
          <w:spacing w:val="1"/>
        </w:rPr>
        <w:t>Expansion  of</w:t>
      </w:r>
      <w:proofErr w:type="gramEnd"/>
      <w:r>
        <w:rPr>
          <w:rFonts w:eastAsia="Times New Roman" w:cs="Arial"/>
          <w:spacing w:val="1"/>
        </w:rPr>
        <w:t xml:space="preserve">  the  forest  area  has  been  one  of  </w:t>
      </w:r>
      <w:r>
        <w:rPr>
          <w:rFonts w:eastAsia="Times New Roman" w:cs="Arial"/>
          <w:spacing w:val="1"/>
        </w:rPr>
        <w:t xml:space="preserve">the  main  objectives  of  Lithuanian  forestry  policy  over  the  last  years.  </w:t>
      </w:r>
      <w:proofErr w:type="gramStart"/>
      <w:r>
        <w:rPr>
          <w:rFonts w:eastAsia="Times New Roman" w:cs="Arial"/>
          <w:spacing w:val="1"/>
        </w:rPr>
        <w:t>Due  to</w:t>
      </w:r>
      <w:proofErr w:type="gramEnd"/>
      <w:r>
        <w:rPr>
          <w:rFonts w:eastAsia="Times New Roman" w:cs="Arial"/>
          <w:spacing w:val="1"/>
        </w:rPr>
        <w:t>  the  implementation  of  sustainable  forest  management  and  national  afforestation  measures,  forest  coverage  in  Lithuania  has  increased  by  3  percent  s</w:t>
      </w:r>
      <w:r>
        <w:rPr>
          <w:rFonts w:eastAsia="Times New Roman" w:cs="Arial"/>
          <w:spacing w:val="1"/>
        </w:rPr>
        <w:t>ince  2003. </w:t>
      </w:r>
      <w:r>
        <w:rPr>
          <w:rFonts w:eastAsia="Times New Roman" w:cs="Arial"/>
          <w:spacing w:val="1"/>
        </w:rPr>
        <w:t xml:space="preserve"> </w:t>
      </w:r>
    </w:p>
    <w:p w14:paraId="21747815" w14:textId="77777777" w:rsidR="00000000" w:rsidRDefault="00052066">
      <w:pPr>
        <w:spacing w:line="260" w:lineRule="atLeast"/>
        <w:divId w:val="649411248"/>
        <w:rPr>
          <w:rFonts w:eastAsia="Times New Roman" w:cs="Arial"/>
          <w:spacing w:val="1"/>
        </w:rPr>
      </w:pPr>
      <w:r>
        <w:rPr>
          <w:rFonts w:eastAsia="Times New Roman" w:cs="Arial"/>
          <w:spacing w:val="1"/>
        </w:rPr>
        <w:t xml:space="preserve">Approximately   a   half   of   forest   land   in   Lithuania   is   owned   by   the   State   and   managed   by   42   State   </w:t>
      </w:r>
      <w:proofErr w:type="gramStart"/>
      <w:r>
        <w:rPr>
          <w:rFonts w:eastAsia="Times New Roman" w:cs="Arial"/>
          <w:spacing w:val="1"/>
        </w:rPr>
        <w:t>Forest  Enterprises</w:t>
      </w:r>
      <w:proofErr w:type="gramEnd"/>
      <w:r>
        <w:rPr>
          <w:rFonts w:eastAsia="Times New Roman" w:cs="Arial"/>
          <w:spacing w:val="1"/>
        </w:rPr>
        <w:t xml:space="preserve">  and  the  Directorate  General  of  State  Forests.  </w:t>
      </w:r>
      <w:proofErr w:type="gramStart"/>
      <w:r>
        <w:rPr>
          <w:rFonts w:eastAsia="Times New Roman" w:cs="Arial"/>
          <w:spacing w:val="1"/>
        </w:rPr>
        <w:t>Respectively,  around</w:t>
      </w:r>
      <w:proofErr w:type="gramEnd"/>
      <w:r>
        <w:rPr>
          <w:rFonts w:eastAsia="Times New Roman" w:cs="Arial"/>
          <w:spacing w:val="1"/>
        </w:rPr>
        <w:t>  40  per  cent </w:t>
      </w:r>
      <w:r>
        <w:rPr>
          <w:rFonts w:eastAsia="Times New Roman" w:cs="Arial"/>
          <w:spacing w:val="1"/>
        </w:rPr>
        <w:t xml:space="preserve"> of  forest  land  is  privately  owned  and  the  rest  10  per  cent  is  still  reserved  for  restitution. </w:t>
      </w:r>
      <w:r>
        <w:rPr>
          <w:rFonts w:eastAsia="Times New Roman" w:cs="Arial"/>
          <w:spacing w:val="1"/>
        </w:rPr>
        <w:t xml:space="preserve"> </w:t>
      </w:r>
    </w:p>
    <w:p w14:paraId="0C2F7D2C" w14:textId="77777777" w:rsidR="00000000" w:rsidRDefault="00052066">
      <w:pPr>
        <w:spacing w:line="260" w:lineRule="atLeast"/>
        <w:divId w:val="132105"/>
        <w:rPr>
          <w:rFonts w:eastAsia="Times New Roman" w:cs="Arial"/>
          <w:spacing w:val="1"/>
        </w:rPr>
      </w:pPr>
      <w:proofErr w:type="gramStart"/>
      <w:r>
        <w:rPr>
          <w:rFonts w:eastAsia="Times New Roman" w:cs="Arial"/>
          <w:spacing w:val="1"/>
        </w:rPr>
        <w:t>Occupying  1</w:t>
      </w:r>
      <w:proofErr w:type="gramEnd"/>
      <w:r>
        <w:rPr>
          <w:rFonts w:eastAsia="Times New Roman" w:cs="Arial"/>
          <w:spacing w:val="1"/>
        </w:rPr>
        <w:t xml:space="preserve">  152  400  ha,  coniferous  stands  prevail  in  Lithuania,  covering  56.1  per  cent  of  the  forest  area.  </w:t>
      </w:r>
      <w:proofErr w:type="gramStart"/>
      <w:r>
        <w:rPr>
          <w:rFonts w:eastAsia="Times New Roman" w:cs="Arial"/>
          <w:spacing w:val="1"/>
        </w:rPr>
        <w:t>They  are</w:t>
      </w:r>
      <w:proofErr w:type="gramEnd"/>
      <w:r>
        <w:rPr>
          <w:rFonts w:eastAsia="Times New Roman" w:cs="Arial"/>
          <w:spacing w:val="1"/>
        </w:rPr>
        <w:t>  followe</w:t>
      </w:r>
      <w:r>
        <w:rPr>
          <w:rFonts w:eastAsia="Times New Roman" w:cs="Arial"/>
          <w:spacing w:val="1"/>
        </w:rPr>
        <w:t xml:space="preserve">d  by  softwood  deciduous  forests  (827  500  ha,  40.3  per  cent)  and  hardwood  deciduous  forest  (75  800  ha,  3.7  per  cent).  </w:t>
      </w:r>
      <w:proofErr w:type="gramStart"/>
      <w:r>
        <w:rPr>
          <w:rFonts w:eastAsia="Times New Roman" w:cs="Arial"/>
          <w:spacing w:val="1"/>
        </w:rPr>
        <w:t>The  dominant</w:t>
      </w:r>
      <w:proofErr w:type="gramEnd"/>
      <w:r>
        <w:rPr>
          <w:rFonts w:eastAsia="Times New Roman" w:cs="Arial"/>
          <w:spacing w:val="1"/>
        </w:rPr>
        <w:t xml:space="preserve">  tree  species  are  pine  (occupying  720  300  ha)  and  spruce  (429  600  ha).  </w:t>
      </w:r>
      <w:proofErr w:type="gramStart"/>
      <w:r>
        <w:rPr>
          <w:rFonts w:eastAsia="Times New Roman" w:cs="Arial"/>
          <w:spacing w:val="1"/>
        </w:rPr>
        <w:t>Birch  stands</w:t>
      </w:r>
      <w:proofErr w:type="gramEnd"/>
      <w:r>
        <w:rPr>
          <w:rFonts w:eastAsia="Times New Roman" w:cs="Arial"/>
          <w:spacing w:val="1"/>
        </w:rPr>
        <w:t xml:space="preserve">  are  </w:t>
      </w:r>
      <w:r>
        <w:rPr>
          <w:rFonts w:eastAsia="Times New Roman" w:cs="Arial"/>
          <w:spacing w:val="1"/>
        </w:rPr>
        <w:t>prevalent  among  deciduous  trees,  covering  an  area  of  459  700  ha. </w:t>
      </w:r>
      <w:r>
        <w:rPr>
          <w:rFonts w:eastAsia="Times New Roman" w:cs="Arial"/>
          <w:spacing w:val="1"/>
        </w:rPr>
        <w:t xml:space="preserve"> </w:t>
      </w:r>
    </w:p>
    <w:p w14:paraId="14E1B5A9" w14:textId="77777777" w:rsidR="00000000" w:rsidRDefault="00052066">
      <w:pPr>
        <w:spacing w:line="260" w:lineRule="atLeast"/>
        <w:divId w:val="1717312692"/>
        <w:rPr>
          <w:rFonts w:eastAsia="Times New Roman" w:cs="Arial"/>
          <w:spacing w:val="1"/>
        </w:rPr>
      </w:pPr>
      <w:proofErr w:type="gramStart"/>
      <w:r>
        <w:rPr>
          <w:rFonts w:eastAsia="Times New Roman" w:cs="Arial"/>
          <w:spacing w:val="1"/>
        </w:rPr>
        <w:t>Sustainable  forest</w:t>
      </w:r>
      <w:proofErr w:type="gramEnd"/>
      <w:r>
        <w:rPr>
          <w:rFonts w:eastAsia="Times New Roman" w:cs="Arial"/>
          <w:spacing w:val="1"/>
        </w:rPr>
        <w:t xml:space="preserve">  management  is  the  overriding  objective  for  forest  policy  and  practise  in  Lithuania.  </w:t>
      </w:r>
      <w:proofErr w:type="gramStart"/>
      <w:r>
        <w:rPr>
          <w:rFonts w:eastAsia="Times New Roman" w:cs="Arial"/>
          <w:spacing w:val="1"/>
        </w:rPr>
        <w:t>Therefore,  forest</w:t>
      </w:r>
      <w:proofErr w:type="gramEnd"/>
      <w:r>
        <w:rPr>
          <w:rFonts w:eastAsia="Times New Roman" w:cs="Arial"/>
          <w:spacing w:val="1"/>
        </w:rPr>
        <w:t>  resources  are  used  responsibly  and  an</w:t>
      </w:r>
      <w:r>
        <w:rPr>
          <w:rFonts w:eastAsia="Times New Roman" w:cs="Arial"/>
          <w:spacing w:val="1"/>
        </w:rPr>
        <w:t xml:space="preserve">nual  timber  harvest  rate  does  not  exceed  the  annual  increment.  </w:t>
      </w:r>
      <w:proofErr w:type="gramStart"/>
      <w:r>
        <w:rPr>
          <w:rFonts w:eastAsia="Times New Roman" w:cs="Arial"/>
          <w:spacing w:val="1"/>
        </w:rPr>
        <w:t>Lithuania’s  forests</w:t>
      </w:r>
      <w:proofErr w:type="gramEnd"/>
      <w:r>
        <w:rPr>
          <w:rFonts w:eastAsia="Times New Roman" w:cs="Arial"/>
          <w:spacing w:val="1"/>
        </w:rPr>
        <w:t xml:space="preserve">  produce  around  7,4  million  m³  of  round wood per year.  </w:t>
      </w:r>
      <w:proofErr w:type="gramStart"/>
      <w:r>
        <w:rPr>
          <w:rFonts w:eastAsia="Times New Roman" w:cs="Arial"/>
          <w:spacing w:val="1"/>
        </w:rPr>
        <w:t xml:space="preserve">Annual  </w:t>
      </w:r>
      <w:proofErr w:type="spellStart"/>
      <w:r>
        <w:rPr>
          <w:rFonts w:eastAsia="Times New Roman" w:cs="Arial"/>
          <w:spacing w:val="1"/>
        </w:rPr>
        <w:t>fellings</w:t>
      </w:r>
      <w:proofErr w:type="spellEnd"/>
      <w:proofErr w:type="gramEnd"/>
      <w:r>
        <w:rPr>
          <w:rFonts w:eastAsia="Times New Roman" w:cs="Arial"/>
          <w:spacing w:val="1"/>
        </w:rPr>
        <w:t>  do  not  exceed  60  per  cent  of  gross  total  annual  increment. </w:t>
      </w:r>
      <w:r>
        <w:rPr>
          <w:rFonts w:eastAsia="Times New Roman" w:cs="Arial"/>
          <w:spacing w:val="1"/>
        </w:rPr>
        <w:t xml:space="preserve"> </w:t>
      </w:r>
    </w:p>
    <w:p w14:paraId="3202E279" w14:textId="77777777" w:rsidR="00000000" w:rsidRDefault="00052066">
      <w:pPr>
        <w:spacing w:line="260" w:lineRule="atLeast"/>
        <w:divId w:val="1140004480"/>
        <w:rPr>
          <w:rFonts w:eastAsia="Times New Roman" w:cs="Arial"/>
          <w:spacing w:val="1"/>
        </w:rPr>
      </w:pPr>
      <w:proofErr w:type="gramStart"/>
      <w:r>
        <w:rPr>
          <w:rFonts w:eastAsia="Times New Roman" w:cs="Arial"/>
          <w:spacing w:val="1"/>
        </w:rPr>
        <w:t>Forests  ar</w:t>
      </w:r>
      <w:r>
        <w:rPr>
          <w:rFonts w:eastAsia="Times New Roman" w:cs="Arial"/>
          <w:spacing w:val="1"/>
        </w:rPr>
        <w:t>e</w:t>
      </w:r>
      <w:proofErr w:type="gramEnd"/>
      <w:r>
        <w:rPr>
          <w:rFonts w:eastAsia="Times New Roman" w:cs="Arial"/>
          <w:spacing w:val="1"/>
        </w:rPr>
        <w:t>  divided  into  groups  upon  the  objectives  of  the  economic  activities,  their  regime  and  the  major  functional  purpose. </w:t>
      </w:r>
      <w:r>
        <w:rPr>
          <w:rFonts w:eastAsia="Times New Roman" w:cs="Arial"/>
          <w:spacing w:val="1"/>
        </w:rPr>
        <w:t xml:space="preserve"> </w:t>
      </w:r>
    </w:p>
    <w:p w14:paraId="33B6F9C6" w14:textId="77777777" w:rsidR="00000000" w:rsidRDefault="00052066">
      <w:pPr>
        <w:spacing w:line="260" w:lineRule="atLeast"/>
        <w:divId w:val="831600887"/>
        <w:rPr>
          <w:rFonts w:eastAsia="Times New Roman" w:cs="Arial"/>
          <w:spacing w:val="1"/>
        </w:rPr>
      </w:pPr>
      <w:proofErr w:type="gramStart"/>
      <w:r>
        <w:rPr>
          <w:rFonts w:eastAsia="Times New Roman" w:cs="Arial"/>
          <w:spacing w:val="1"/>
        </w:rPr>
        <w:t>Group  I</w:t>
      </w:r>
      <w:proofErr w:type="gramEnd"/>
      <w:r>
        <w:rPr>
          <w:rFonts w:eastAsia="Times New Roman" w:cs="Arial"/>
          <w:spacing w:val="1"/>
        </w:rPr>
        <w:t xml:space="preserve">  –  strict  reserves  forests.  </w:t>
      </w:r>
      <w:proofErr w:type="gramStart"/>
      <w:r>
        <w:rPr>
          <w:rFonts w:eastAsia="Times New Roman" w:cs="Arial"/>
          <w:spacing w:val="1"/>
        </w:rPr>
        <w:t>These  are</w:t>
      </w:r>
      <w:proofErr w:type="gramEnd"/>
      <w:r>
        <w:rPr>
          <w:rFonts w:eastAsia="Times New Roman" w:cs="Arial"/>
          <w:spacing w:val="1"/>
        </w:rPr>
        <w:t>  the  strict  reserves  and  small  strict  reserves  forests  on  t</w:t>
      </w:r>
      <w:r>
        <w:rPr>
          <w:rFonts w:eastAsia="Times New Roman" w:cs="Arial"/>
          <w:spacing w:val="1"/>
        </w:rPr>
        <w:t xml:space="preserve">he  territories  of  state  strict  nature  reserves,  state  parks  and  biosphere  monitoring  territories.  </w:t>
      </w:r>
      <w:proofErr w:type="gramStart"/>
      <w:r>
        <w:rPr>
          <w:rFonts w:eastAsia="Times New Roman" w:cs="Arial"/>
          <w:spacing w:val="1"/>
        </w:rPr>
        <w:t>Objective  of</w:t>
      </w:r>
      <w:proofErr w:type="gramEnd"/>
      <w:r>
        <w:rPr>
          <w:rFonts w:eastAsia="Times New Roman" w:cs="Arial"/>
          <w:spacing w:val="1"/>
        </w:rPr>
        <w:t>  economic  activities  –  to  preserve  the  forests  for  a  natural  growth. </w:t>
      </w:r>
      <w:r>
        <w:rPr>
          <w:rFonts w:eastAsia="Times New Roman" w:cs="Arial"/>
          <w:spacing w:val="1"/>
        </w:rPr>
        <w:t xml:space="preserve"> </w:t>
      </w:r>
    </w:p>
    <w:p w14:paraId="0D98F527" w14:textId="77777777" w:rsidR="00000000" w:rsidRDefault="00052066">
      <w:pPr>
        <w:spacing w:line="260" w:lineRule="atLeast"/>
        <w:divId w:val="1760445186"/>
        <w:rPr>
          <w:rFonts w:eastAsia="Times New Roman" w:cs="Arial"/>
          <w:spacing w:val="1"/>
        </w:rPr>
      </w:pPr>
      <w:proofErr w:type="gramStart"/>
      <w:r>
        <w:rPr>
          <w:rFonts w:eastAsia="Times New Roman" w:cs="Arial"/>
          <w:spacing w:val="1"/>
        </w:rPr>
        <w:lastRenderedPageBreak/>
        <w:t>Group  II</w:t>
      </w:r>
      <w:proofErr w:type="gramEnd"/>
      <w:r>
        <w:rPr>
          <w:rFonts w:eastAsia="Times New Roman" w:cs="Arial"/>
          <w:spacing w:val="1"/>
        </w:rPr>
        <w:t>  –  forests  of  special  purpose,  spli</w:t>
      </w:r>
      <w:r>
        <w:rPr>
          <w:rFonts w:eastAsia="Times New Roman" w:cs="Arial"/>
          <w:spacing w:val="1"/>
        </w:rPr>
        <w:t xml:space="preserve">t  into  the  following:  A  –  ecosystem  protection  forests.  </w:t>
      </w:r>
      <w:proofErr w:type="gramStart"/>
      <w:r>
        <w:rPr>
          <w:rFonts w:eastAsia="Times New Roman" w:cs="Arial"/>
          <w:spacing w:val="1"/>
        </w:rPr>
        <w:t>Landscape,  botanical</w:t>
      </w:r>
      <w:proofErr w:type="gramEnd"/>
      <w:r>
        <w:rPr>
          <w:rFonts w:eastAsia="Times New Roman" w:cs="Arial"/>
          <w:spacing w:val="1"/>
        </w:rPr>
        <w:t>,  forest  genetic,  zoological,  botanical-</w:t>
      </w:r>
      <w:r>
        <w:rPr>
          <w:rFonts w:eastAsia="Times New Roman" w:cs="Arial"/>
          <w:spacing w:val="1"/>
        </w:rPr>
        <w:softHyphen/>
        <w:t>zoological  reserves  and  reserves  of  these  types  in  state  parks  and   biosphere   monitoring   territories.   Object</w:t>
      </w:r>
      <w:r>
        <w:rPr>
          <w:rFonts w:eastAsia="Times New Roman" w:cs="Arial"/>
          <w:spacing w:val="1"/>
        </w:rPr>
        <w:t xml:space="preserve">ive   of   economic   activities   –   to   preserve   or   restore   </w:t>
      </w:r>
      <w:proofErr w:type="gramStart"/>
      <w:r>
        <w:rPr>
          <w:rFonts w:eastAsia="Times New Roman" w:cs="Arial"/>
          <w:spacing w:val="1"/>
        </w:rPr>
        <w:t>forest  ecosystems</w:t>
      </w:r>
      <w:proofErr w:type="gramEnd"/>
      <w:r>
        <w:rPr>
          <w:rFonts w:eastAsia="Times New Roman" w:cs="Arial"/>
          <w:spacing w:val="1"/>
        </w:rPr>
        <w:t xml:space="preserve">  or  separate  ecosystem  components.  </w:t>
      </w:r>
      <w:proofErr w:type="gramStart"/>
      <w:r>
        <w:rPr>
          <w:rFonts w:eastAsia="Times New Roman" w:cs="Arial"/>
          <w:spacing w:val="1"/>
        </w:rPr>
        <w:t>B  –</w:t>
      </w:r>
      <w:proofErr w:type="gramEnd"/>
      <w:r>
        <w:rPr>
          <w:rFonts w:eastAsia="Times New Roman" w:cs="Arial"/>
          <w:spacing w:val="1"/>
        </w:rPr>
        <w:t xml:space="preserve">  recreational  forests.  </w:t>
      </w:r>
      <w:proofErr w:type="gramStart"/>
      <w:r>
        <w:rPr>
          <w:rFonts w:eastAsia="Times New Roman" w:cs="Arial"/>
          <w:spacing w:val="1"/>
        </w:rPr>
        <w:t>Recreational  forests</w:t>
      </w:r>
      <w:proofErr w:type="gramEnd"/>
      <w:r>
        <w:rPr>
          <w:rFonts w:eastAsia="Times New Roman" w:cs="Arial"/>
          <w:spacing w:val="1"/>
        </w:rPr>
        <w:t>  cover  forest  parks,  urban  (city)  forests,  forests  of  recreation  zo</w:t>
      </w:r>
      <w:r>
        <w:rPr>
          <w:rFonts w:eastAsia="Times New Roman" w:cs="Arial"/>
          <w:spacing w:val="1"/>
        </w:rPr>
        <w:t xml:space="preserve">nes  of  the  state  parks,  recreational  forest  areas  and  other  forests  defined  for  recreation.  </w:t>
      </w:r>
      <w:proofErr w:type="gramStart"/>
      <w:r>
        <w:rPr>
          <w:rFonts w:eastAsia="Times New Roman" w:cs="Arial"/>
          <w:spacing w:val="1"/>
        </w:rPr>
        <w:t>Objective  of</w:t>
      </w:r>
      <w:proofErr w:type="gramEnd"/>
      <w:r>
        <w:rPr>
          <w:rFonts w:eastAsia="Times New Roman" w:cs="Arial"/>
          <w:spacing w:val="1"/>
        </w:rPr>
        <w:t>  economic  activities  –  to  form  and  preserve  the  recreational  forest  environment. </w:t>
      </w:r>
      <w:r>
        <w:rPr>
          <w:rFonts w:eastAsia="Times New Roman" w:cs="Arial"/>
          <w:spacing w:val="1"/>
        </w:rPr>
        <w:t xml:space="preserve"> </w:t>
      </w:r>
    </w:p>
    <w:p w14:paraId="400192F0" w14:textId="77777777" w:rsidR="00000000" w:rsidRDefault="00052066">
      <w:pPr>
        <w:spacing w:line="260" w:lineRule="atLeast"/>
        <w:divId w:val="1349484473"/>
        <w:rPr>
          <w:rFonts w:eastAsia="Times New Roman" w:cs="Arial"/>
          <w:spacing w:val="1"/>
        </w:rPr>
      </w:pPr>
      <w:r>
        <w:rPr>
          <w:rFonts w:eastAsia="Times New Roman" w:cs="Arial"/>
          <w:spacing w:val="1"/>
        </w:rPr>
        <w:t>Group   III   –   protective   forests.   T</w:t>
      </w:r>
      <w:r>
        <w:rPr>
          <w:rFonts w:eastAsia="Times New Roman" w:cs="Arial"/>
          <w:spacing w:val="1"/>
        </w:rPr>
        <w:t xml:space="preserve">hese   are   the   forests   in   the   territories   of   </w:t>
      </w:r>
      <w:proofErr w:type="gramStart"/>
      <w:r>
        <w:rPr>
          <w:rFonts w:eastAsia="Times New Roman" w:cs="Arial"/>
          <w:spacing w:val="1"/>
        </w:rPr>
        <w:t xml:space="preserve">geological,   </w:t>
      </w:r>
      <w:proofErr w:type="spellStart"/>
      <w:proofErr w:type="gramEnd"/>
      <w:r>
        <w:rPr>
          <w:rFonts w:eastAsia="Times New Roman" w:cs="Arial"/>
          <w:spacing w:val="1"/>
        </w:rPr>
        <w:t>geomorfological</w:t>
      </w:r>
      <w:proofErr w:type="spellEnd"/>
      <w:r>
        <w:rPr>
          <w:rFonts w:eastAsia="Times New Roman" w:cs="Arial"/>
          <w:spacing w:val="1"/>
        </w:rPr>
        <w:t xml:space="preserve">,  </w:t>
      </w:r>
      <w:proofErr w:type="spellStart"/>
      <w:r>
        <w:rPr>
          <w:rFonts w:eastAsia="Times New Roman" w:cs="Arial"/>
          <w:spacing w:val="1"/>
        </w:rPr>
        <w:t>hidrographical</w:t>
      </w:r>
      <w:proofErr w:type="spellEnd"/>
      <w:r>
        <w:rPr>
          <w:rFonts w:eastAsia="Times New Roman" w:cs="Arial"/>
          <w:spacing w:val="1"/>
        </w:rPr>
        <w:t xml:space="preserve">,  and  cultural  reserves,  forests  of  protection  zones.  </w:t>
      </w:r>
      <w:proofErr w:type="gramStart"/>
      <w:r>
        <w:rPr>
          <w:rFonts w:eastAsia="Times New Roman" w:cs="Arial"/>
          <w:spacing w:val="1"/>
        </w:rPr>
        <w:t>Objective  of</w:t>
      </w:r>
      <w:proofErr w:type="gramEnd"/>
      <w:r>
        <w:rPr>
          <w:rFonts w:eastAsia="Times New Roman" w:cs="Arial"/>
          <w:spacing w:val="1"/>
        </w:rPr>
        <w:t>  economic  activities  –  to  form  productive  forest  stands  capable  of</w:t>
      </w:r>
      <w:r>
        <w:rPr>
          <w:rFonts w:eastAsia="Times New Roman" w:cs="Arial"/>
          <w:spacing w:val="1"/>
        </w:rPr>
        <w:t>  performing  the  functions  of  protection  of  soil,  air,  water  and  human  living  surroundings. </w:t>
      </w:r>
      <w:r>
        <w:rPr>
          <w:rFonts w:eastAsia="Times New Roman" w:cs="Arial"/>
          <w:spacing w:val="1"/>
        </w:rPr>
        <w:t xml:space="preserve"> </w:t>
      </w:r>
    </w:p>
    <w:p w14:paraId="176EDCC1" w14:textId="77777777" w:rsidR="00000000" w:rsidRDefault="00052066">
      <w:pPr>
        <w:spacing w:line="260" w:lineRule="atLeast"/>
        <w:divId w:val="158271929"/>
        <w:rPr>
          <w:rFonts w:eastAsia="Times New Roman" w:cs="Arial"/>
          <w:spacing w:val="1"/>
        </w:rPr>
      </w:pPr>
      <w:proofErr w:type="gramStart"/>
      <w:r>
        <w:rPr>
          <w:rFonts w:eastAsia="Times New Roman" w:cs="Arial"/>
          <w:spacing w:val="1"/>
        </w:rPr>
        <w:t>Group  IV</w:t>
      </w:r>
      <w:proofErr w:type="gramEnd"/>
      <w:r>
        <w:rPr>
          <w:rFonts w:eastAsia="Times New Roman" w:cs="Arial"/>
          <w:spacing w:val="1"/>
        </w:rPr>
        <w:t xml:space="preserve">  –  commercial  forests,  split  into  the  following:  A  –  commercial  forests  of  normal  cutting  age.  </w:t>
      </w:r>
      <w:proofErr w:type="gramStart"/>
      <w:r>
        <w:rPr>
          <w:rFonts w:eastAsia="Times New Roman" w:cs="Arial"/>
          <w:spacing w:val="1"/>
        </w:rPr>
        <w:t>Objective  of</w:t>
      </w:r>
      <w:proofErr w:type="gramEnd"/>
      <w:r>
        <w:rPr>
          <w:rFonts w:eastAsia="Times New Roman" w:cs="Arial"/>
          <w:spacing w:val="1"/>
        </w:rPr>
        <w:t>   economic   act</w:t>
      </w:r>
      <w:r>
        <w:rPr>
          <w:rFonts w:eastAsia="Times New Roman" w:cs="Arial"/>
          <w:spacing w:val="1"/>
        </w:rPr>
        <w:t xml:space="preserve">ivities   –   to   form   productive   forest   stands   and   supply   wood   continuously   following   the  requirements  of  environmental  protection;;  </w:t>
      </w:r>
      <w:proofErr w:type="gramStart"/>
      <w:r>
        <w:rPr>
          <w:rFonts w:eastAsia="Times New Roman" w:cs="Arial"/>
          <w:spacing w:val="1"/>
        </w:rPr>
        <w:t>B  -</w:t>
      </w:r>
      <w:proofErr w:type="gramEnd"/>
      <w:r>
        <w:rPr>
          <w:rFonts w:eastAsia="Times New Roman" w:cs="Arial"/>
          <w:spacing w:val="1"/>
        </w:rPr>
        <w:softHyphen/>
        <w:t xml:space="preserve">  forest  plantations.  </w:t>
      </w:r>
      <w:proofErr w:type="gramStart"/>
      <w:r>
        <w:rPr>
          <w:rFonts w:eastAsia="Times New Roman" w:cs="Arial"/>
          <w:spacing w:val="1"/>
        </w:rPr>
        <w:t>Objective  of</w:t>
      </w:r>
      <w:proofErr w:type="gramEnd"/>
      <w:r>
        <w:rPr>
          <w:rFonts w:eastAsia="Times New Roman" w:cs="Arial"/>
          <w:spacing w:val="1"/>
        </w:rPr>
        <w:t>  economic  activities  –  to  grow  as  much  wood  as </w:t>
      </w:r>
      <w:r>
        <w:rPr>
          <w:rFonts w:eastAsia="Times New Roman" w:cs="Arial"/>
          <w:spacing w:val="1"/>
        </w:rPr>
        <w:t xml:space="preserve"> possible  in  the  shortest  period  of  time. </w:t>
      </w:r>
      <w:r>
        <w:rPr>
          <w:rFonts w:eastAsia="Times New Roman" w:cs="Arial"/>
          <w:spacing w:val="1"/>
        </w:rPr>
        <w:t xml:space="preserve"> </w:t>
      </w:r>
    </w:p>
    <w:p w14:paraId="13178A3E" w14:textId="77777777" w:rsidR="00000000" w:rsidRDefault="00052066">
      <w:pPr>
        <w:spacing w:line="260" w:lineRule="atLeast"/>
        <w:divId w:val="167059170"/>
        <w:rPr>
          <w:rFonts w:eastAsia="Times New Roman" w:cs="Arial"/>
          <w:spacing w:val="1"/>
        </w:rPr>
      </w:pPr>
      <w:proofErr w:type="gramStart"/>
      <w:r>
        <w:rPr>
          <w:rFonts w:eastAsia="Times New Roman" w:cs="Arial"/>
          <w:spacing w:val="1"/>
        </w:rPr>
        <w:t>FSC  and</w:t>
      </w:r>
      <w:proofErr w:type="gramEnd"/>
      <w:r>
        <w:rPr>
          <w:rFonts w:eastAsia="Times New Roman" w:cs="Arial"/>
          <w:spacing w:val="1"/>
        </w:rPr>
        <w:t>  PEFC  certificates  are  used  in  Lithuania. </w:t>
      </w:r>
      <w:r>
        <w:rPr>
          <w:rFonts w:eastAsia="Times New Roman" w:cs="Arial"/>
          <w:spacing w:val="1"/>
        </w:rPr>
        <w:t xml:space="preserve"> </w:t>
      </w:r>
    </w:p>
    <w:p w14:paraId="091F33DC" w14:textId="77777777" w:rsidR="00000000" w:rsidRDefault="00052066">
      <w:pPr>
        <w:spacing w:line="260" w:lineRule="atLeast"/>
        <w:divId w:val="1666736109"/>
        <w:rPr>
          <w:rFonts w:eastAsia="Times New Roman" w:cs="Arial"/>
          <w:spacing w:val="1"/>
        </w:rPr>
      </w:pPr>
      <w:proofErr w:type="gramStart"/>
      <w:r>
        <w:rPr>
          <w:rFonts w:eastAsia="Times New Roman" w:cs="Arial"/>
          <w:spacing w:val="1"/>
        </w:rPr>
        <w:t>In  December</w:t>
      </w:r>
      <w:proofErr w:type="gramEnd"/>
      <w:r>
        <w:rPr>
          <w:rFonts w:eastAsia="Times New Roman" w:cs="Arial"/>
          <w:spacing w:val="1"/>
        </w:rPr>
        <w:t>  2021  total  FSC  Certified  Forest  Area  in  Lithuania  was  1 276 608  hectares  with  32 Forest Management Certificates and 445  C</w:t>
      </w:r>
      <w:r>
        <w:rPr>
          <w:rFonts w:eastAsia="Times New Roman" w:cs="Arial"/>
          <w:spacing w:val="1"/>
        </w:rPr>
        <w:t xml:space="preserve">hain  of  Custody  Certificates. </w:t>
      </w:r>
      <w:r>
        <w:rPr>
          <w:rFonts w:eastAsia="Times New Roman" w:cs="Arial"/>
          <w:spacing w:val="1"/>
        </w:rPr>
        <w:t> </w:t>
      </w:r>
    </w:p>
    <w:p w14:paraId="0D152F67" w14:textId="77777777" w:rsidR="00000000" w:rsidRDefault="00052066">
      <w:pPr>
        <w:spacing w:line="260" w:lineRule="atLeast"/>
        <w:divId w:val="668992247"/>
        <w:rPr>
          <w:rFonts w:eastAsia="Times New Roman" w:cs="Arial"/>
          <w:spacing w:val="1"/>
        </w:rPr>
      </w:pPr>
      <w:proofErr w:type="gramStart"/>
      <w:r>
        <w:rPr>
          <w:rFonts w:eastAsia="Times New Roman" w:cs="Arial"/>
          <w:spacing w:val="1"/>
        </w:rPr>
        <w:t>In  December</w:t>
      </w:r>
      <w:proofErr w:type="gramEnd"/>
      <w:r>
        <w:rPr>
          <w:rFonts w:eastAsia="Times New Roman" w:cs="Arial"/>
          <w:spacing w:val="1"/>
        </w:rPr>
        <w:t>  2021  there  were  20  PEFC  Chain  of  Custody  Certificates.      </w:t>
      </w:r>
      <w:r>
        <w:rPr>
          <w:rFonts w:eastAsia="Times New Roman" w:cs="Arial"/>
          <w:spacing w:val="1"/>
        </w:rPr>
        <w:t> </w:t>
      </w:r>
    </w:p>
    <w:p w14:paraId="00C849E7" w14:textId="77777777" w:rsidR="00000000" w:rsidRDefault="00052066">
      <w:pPr>
        <w:spacing w:line="260" w:lineRule="atLeast"/>
        <w:divId w:val="2017875813"/>
        <w:rPr>
          <w:rFonts w:eastAsia="Times New Roman" w:cs="Arial"/>
          <w:spacing w:val="1"/>
        </w:rPr>
      </w:pPr>
      <w:proofErr w:type="gramStart"/>
      <w:r>
        <w:rPr>
          <w:rFonts w:eastAsia="Times New Roman" w:cs="Arial"/>
          <w:spacing w:val="1"/>
        </w:rPr>
        <w:t>CITES  came</w:t>
      </w:r>
      <w:proofErr w:type="gramEnd"/>
      <w:r>
        <w:rPr>
          <w:rFonts w:eastAsia="Times New Roman" w:cs="Arial"/>
          <w:spacing w:val="1"/>
        </w:rPr>
        <w:t>  into  force  in  Lithuania  on  09/03/2002.  </w:t>
      </w:r>
    </w:p>
    <w:p w14:paraId="1EC7E156" w14:textId="77777777" w:rsidR="00000000" w:rsidRDefault="00052066">
      <w:pPr>
        <w:spacing w:line="260" w:lineRule="atLeast"/>
        <w:divId w:val="1470054975"/>
        <w:rPr>
          <w:rFonts w:eastAsia="Times New Roman" w:cs="Arial"/>
          <w:spacing w:val="1"/>
        </w:rPr>
      </w:pPr>
      <w:r>
        <w:rPr>
          <w:rFonts w:asciiTheme="minorHAnsi" w:hAnsiTheme="minorHAnsi"/>
          <w:noProof/>
          <w:sz w:val="22"/>
          <w:szCs w:val="22"/>
        </w:rPr>
        <w:drawing>
          <wp:inline distT="0" distB="0" distL="0" distR="0">
            <wp:extent cx="6096000" cy="3562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562350"/>
                    </a:xfrm>
                    <a:prstGeom prst="rect">
                      <a:avLst/>
                    </a:prstGeom>
                    <a:noFill/>
                    <a:ln>
                      <a:noFill/>
                    </a:ln>
                  </pic:spPr>
                </pic:pic>
              </a:graphicData>
            </a:graphic>
          </wp:inline>
        </w:drawing>
      </w:r>
    </w:p>
    <w:p w14:paraId="751C5F7B" w14:textId="77777777" w:rsidR="00000000" w:rsidRDefault="00052066">
      <w:pPr>
        <w:spacing w:line="260" w:lineRule="atLeast"/>
        <w:divId w:val="144322331"/>
        <w:rPr>
          <w:rFonts w:eastAsia="Times New Roman" w:cs="Arial"/>
          <w:spacing w:val="1"/>
        </w:rPr>
      </w:pPr>
      <w:r>
        <w:rPr>
          <w:rFonts w:asciiTheme="minorHAnsi" w:hAnsiTheme="minorHAnsi"/>
          <w:noProof/>
          <w:sz w:val="22"/>
          <w:szCs w:val="22"/>
        </w:rPr>
        <w:lastRenderedPageBreak/>
        <w:drawing>
          <wp:inline distT="0" distB="0" distL="0" distR="0">
            <wp:extent cx="6096000" cy="399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3990975"/>
                    </a:xfrm>
                    <a:prstGeom prst="rect">
                      <a:avLst/>
                    </a:prstGeom>
                    <a:noFill/>
                    <a:ln>
                      <a:noFill/>
                    </a:ln>
                  </pic:spPr>
                </pic:pic>
              </a:graphicData>
            </a:graphic>
          </wp:inline>
        </w:drawing>
      </w:r>
    </w:p>
    <w:p w14:paraId="5C87E2B6" w14:textId="77777777" w:rsidR="00000000" w:rsidRDefault="00052066">
      <w:pPr>
        <w:spacing w:line="260" w:lineRule="atLeast"/>
        <w:divId w:val="1066801811"/>
        <w:rPr>
          <w:rFonts w:eastAsia="Times New Roman" w:cs="Arial"/>
          <w:spacing w:val="1"/>
        </w:rPr>
      </w:pPr>
      <w:r>
        <w:rPr>
          <w:rFonts w:eastAsia="Times New Roman" w:cs="Arial"/>
          <w:spacing w:val="1"/>
        </w:rPr>
        <w:t>Forests and wood product industries provide over 60,000 jobs in forestry and logging, wood manufacturing and the paper and furniture industries. This is 6 percent of total employment in t</w:t>
      </w:r>
      <w:r>
        <w:rPr>
          <w:rFonts w:eastAsia="Times New Roman" w:cs="Arial"/>
          <w:spacing w:val="1"/>
        </w:rPr>
        <w:t xml:space="preserve">he country. In 2013 the forest and wood processing sector’s share of total national value added reached 4.5 percent, with forestry adding about 0.6 percent. The biggest share of the value added in the sector was generated by the furniture industry, some 2 </w:t>
      </w:r>
      <w:r>
        <w:rPr>
          <w:rFonts w:eastAsia="Times New Roman" w:cs="Arial"/>
          <w:spacing w:val="1"/>
        </w:rPr>
        <w:t xml:space="preserve">percent. The number of companies in forestry, logging and the forest industry diminished while their average size increased in recent years. </w:t>
      </w:r>
      <w:proofErr w:type="gramStart"/>
      <w:r>
        <w:rPr>
          <w:rFonts w:eastAsia="Times New Roman" w:cs="Arial"/>
          <w:spacing w:val="1"/>
        </w:rPr>
        <w:t>The Lithuanian forest</w:t>
      </w:r>
      <w:proofErr w:type="gramEnd"/>
      <w:r>
        <w:rPr>
          <w:rFonts w:eastAsia="Times New Roman" w:cs="Arial"/>
          <w:spacing w:val="1"/>
        </w:rPr>
        <w:t xml:space="preserve"> and wood processing sector has over 2,000 operating companies as of 2014</w:t>
      </w:r>
      <w:r>
        <w:rPr>
          <w:rFonts w:eastAsia="Times New Roman" w:cs="Arial"/>
          <w:spacing w:val="1"/>
        </w:rPr>
        <w:t>.</w:t>
      </w:r>
    </w:p>
    <w:p w14:paraId="64114D70" w14:textId="77777777" w:rsidR="00000000" w:rsidRDefault="00052066">
      <w:pPr>
        <w:spacing w:line="260" w:lineRule="atLeast"/>
        <w:divId w:val="2022539087"/>
        <w:rPr>
          <w:rFonts w:eastAsia="Times New Roman" w:cs="Arial"/>
          <w:spacing w:val="1"/>
        </w:rPr>
      </w:pPr>
    </w:p>
    <w:p w14:paraId="06D49C0E" w14:textId="77777777" w:rsidR="00000000" w:rsidRDefault="00052066">
      <w:pPr>
        <w:spacing w:line="260" w:lineRule="atLeast"/>
        <w:divId w:val="805780687"/>
        <w:rPr>
          <w:rFonts w:eastAsia="Times New Roman" w:cs="Arial"/>
          <w:spacing w:val="1"/>
        </w:rPr>
      </w:pPr>
      <w:r>
        <w:rPr>
          <w:rFonts w:eastAsia="Times New Roman" w:cs="Arial"/>
          <w:spacing w:val="1"/>
        </w:rPr>
        <w:t xml:space="preserve">SIA PATA has not </w:t>
      </w:r>
      <w:r>
        <w:rPr>
          <w:rFonts w:eastAsia="Times New Roman" w:cs="Arial"/>
          <w:spacing w:val="1"/>
        </w:rPr>
        <w:t>purchased SBP feedstock from Lithuania</w:t>
      </w:r>
      <w:r>
        <w:rPr>
          <w:rFonts w:eastAsia="Times New Roman" w:cs="Arial"/>
          <w:spacing w:val="1"/>
        </w:rPr>
        <w:t>.</w:t>
      </w:r>
    </w:p>
    <w:p w14:paraId="25737AD0" w14:textId="77777777" w:rsidR="005415D2" w:rsidRDefault="005415D2">
      <w:pPr>
        <w:spacing w:after="0" w:line="240" w:lineRule="auto"/>
        <w:rPr>
          <w:rFonts w:cstheme="minorHAnsi"/>
          <w:lang w:val="en-US" w:eastAsia="nl-NL"/>
        </w:rPr>
      </w:pPr>
    </w:p>
    <w:p w14:paraId="5A3B3A1A" w14:textId="77777777" w:rsidR="005415D2" w:rsidRDefault="005415D2">
      <w:pPr>
        <w:spacing w:after="0" w:line="240" w:lineRule="auto"/>
        <w:rPr>
          <w:rFonts w:cs="Arial"/>
          <w:lang w:val="en-US" w:eastAsia="nl-NL"/>
        </w:rPr>
      </w:pPr>
    </w:p>
    <w:p w14:paraId="2D30EEA8" w14:textId="77777777" w:rsidR="005415D2" w:rsidRDefault="005415D2">
      <w:pPr>
        <w:spacing w:after="0" w:line="240" w:lineRule="auto"/>
        <w:rPr>
          <w:rFonts w:cstheme="minorHAnsi"/>
          <w:lang w:val="en-US" w:eastAsia="nl-NL"/>
        </w:rPr>
      </w:pPr>
    </w:p>
    <w:p w14:paraId="49407C7F" w14:textId="77777777" w:rsidR="005415D2" w:rsidRDefault="00083003">
      <w:pPr>
        <w:rPr>
          <w:color w:val="000000" w:themeColor="text1"/>
        </w:rPr>
      </w:pPr>
      <w:proofErr w:type="spellStart"/>
      <w:proofErr w:type="gramStart"/>
      <w:r>
        <w:rPr>
          <w:b/>
          <w:bCs/>
          <w:color w:val="000000" w:themeColor="text1"/>
        </w:rPr>
        <w:t>Country:</w:t>
      </w:r>
      <w:r>
        <w:rPr>
          <w:color w:val="000000" w:themeColor="text1"/>
        </w:rPr>
        <w:t>Estonia</w:t>
      </w:r>
      <w:proofErr w:type="spellEnd"/>
      <w:proofErr w:type="gramEnd"/>
    </w:p>
    <w:p w14:paraId="49F4E954" w14:textId="77777777" w:rsidR="005415D2" w:rsidRDefault="00083003">
      <w:pPr>
        <w:rPr>
          <w:b/>
          <w:bCs/>
          <w:color w:val="000000" w:themeColor="text1"/>
        </w:rPr>
      </w:pPr>
      <w:r>
        <w:rPr>
          <w:b/>
          <w:bCs/>
          <w:color w:val="000000" w:themeColor="text1"/>
        </w:rPr>
        <w:t xml:space="preserve">Area/Region: </w:t>
      </w:r>
      <w:r>
        <w:rPr>
          <w:color w:val="000000" w:themeColor="text1"/>
        </w:rPr>
        <w:t>Coastal, Inland</w:t>
      </w:r>
    </w:p>
    <w:p w14:paraId="53A82982" w14:textId="77777777" w:rsidR="005415D2" w:rsidRDefault="00083003">
      <w:pPr>
        <w:rPr>
          <w:b/>
          <w:bCs/>
          <w:color w:val="000000" w:themeColor="text1"/>
        </w:rPr>
      </w:pPr>
      <w:r>
        <w:rPr>
          <w:b/>
          <w:bCs/>
          <w:color w:val="000000" w:themeColor="text1"/>
        </w:rPr>
        <w:t xml:space="preserve">Exclusions: </w:t>
      </w:r>
      <w:r>
        <w:rPr>
          <w:color w:val="000000" w:themeColor="text1"/>
        </w:rPr>
        <w:t>No</w:t>
      </w:r>
    </w:p>
    <w:p w14:paraId="0DD32A1A" w14:textId="77777777" w:rsidR="00000000" w:rsidRDefault="00052066">
      <w:pPr>
        <w:spacing w:line="260" w:lineRule="atLeast"/>
        <w:divId w:val="1967927924"/>
        <w:rPr>
          <w:rFonts w:eastAsia="Times New Roman" w:cs="Arial"/>
          <w:spacing w:val="1"/>
        </w:rPr>
      </w:pPr>
      <w:proofErr w:type="gramStart"/>
      <w:r>
        <w:rPr>
          <w:rFonts w:eastAsia="Times New Roman" w:cs="Arial"/>
          <w:spacing w:val="1"/>
        </w:rPr>
        <w:t>Today  forests</w:t>
      </w:r>
      <w:proofErr w:type="gramEnd"/>
      <w:r>
        <w:rPr>
          <w:rFonts w:eastAsia="Times New Roman" w:cs="Arial"/>
          <w:spacing w:val="1"/>
        </w:rPr>
        <w:t xml:space="preserve">  cover  around  50%  of  the  territory  of  Estonia  contributing  to  approximately  2.2  million  hectares  with  the  growing  stock  around  468  million  m3.  </w:t>
      </w:r>
      <w:proofErr w:type="gramStart"/>
      <w:r>
        <w:rPr>
          <w:rFonts w:eastAsia="Times New Roman" w:cs="Arial"/>
          <w:spacing w:val="1"/>
        </w:rPr>
        <w:t>Estonia  is</w:t>
      </w:r>
      <w:proofErr w:type="gramEnd"/>
      <w:r>
        <w:rPr>
          <w:rFonts w:eastAsia="Times New Roman" w:cs="Arial"/>
          <w:spacing w:val="1"/>
        </w:rPr>
        <w:t xml:space="preserve">  in  the  third  position  in  Europe  based  on  forest  </w:t>
      </w:r>
      <w:r>
        <w:rPr>
          <w:rFonts w:eastAsia="Times New Roman" w:cs="Arial"/>
          <w:spacing w:val="1"/>
        </w:rPr>
        <w:t>coverage  (share  of  forestland  area  in  mainland  territory)  after  Sweden and Finland. </w:t>
      </w:r>
      <w:r>
        <w:rPr>
          <w:rFonts w:eastAsia="Times New Roman" w:cs="Arial"/>
          <w:spacing w:val="1"/>
        </w:rPr>
        <w:t xml:space="preserve"> </w:t>
      </w:r>
    </w:p>
    <w:p w14:paraId="7902D6A6" w14:textId="77777777" w:rsidR="00000000" w:rsidRDefault="00052066">
      <w:pPr>
        <w:spacing w:line="260" w:lineRule="atLeast"/>
        <w:divId w:val="508912909"/>
        <w:rPr>
          <w:rFonts w:eastAsia="Times New Roman" w:cs="Arial"/>
          <w:spacing w:val="1"/>
        </w:rPr>
      </w:pPr>
      <w:proofErr w:type="gramStart"/>
      <w:r>
        <w:rPr>
          <w:rFonts w:eastAsia="Times New Roman" w:cs="Arial"/>
          <w:spacing w:val="1"/>
        </w:rPr>
        <w:t>Estonia  lies</w:t>
      </w:r>
      <w:proofErr w:type="gramEnd"/>
      <w:r>
        <w:rPr>
          <w:rFonts w:eastAsia="Times New Roman" w:cs="Arial"/>
          <w:spacing w:val="1"/>
        </w:rPr>
        <w:t xml:space="preserve">  within  the  latitude  of  59°  00’N  in  the  temperate  zone  of  the  Northern  Hemisphere.  </w:t>
      </w:r>
      <w:proofErr w:type="gramStart"/>
      <w:r>
        <w:rPr>
          <w:rFonts w:eastAsia="Times New Roman" w:cs="Arial"/>
          <w:spacing w:val="1"/>
        </w:rPr>
        <w:t>Due  to</w:t>
      </w:r>
      <w:proofErr w:type="gramEnd"/>
      <w:r>
        <w:rPr>
          <w:rFonts w:eastAsia="Times New Roman" w:cs="Arial"/>
          <w:spacing w:val="1"/>
        </w:rPr>
        <w:t xml:space="preserve">  moderate  maritime  climate  conditions  </w:t>
      </w:r>
      <w:r>
        <w:rPr>
          <w:rFonts w:eastAsia="Times New Roman" w:cs="Arial"/>
          <w:spacing w:val="1"/>
        </w:rPr>
        <w:t xml:space="preserve">for  forest  growth  are  very  suitable.  </w:t>
      </w:r>
      <w:proofErr w:type="gramStart"/>
      <w:r>
        <w:rPr>
          <w:rFonts w:eastAsia="Times New Roman" w:cs="Arial"/>
          <w:spacing w:val="1"/>
        </w:rPr>
        <w:t>Estonia  belongs</w:t>
      </w:r>
      <w:proofErr w:type="gramEnd"/>
      <w:r>
        <w:rPr>
          <w:rFonts w:eastAsia="Times New Roman" w:cs="Arial"/>
          <w:spacing w:val="1"/>
        </w:rPr>
        <w:t>  primarily  to  the  northern  area  of   the   nemoral-</w:t>
      </w:r>
      <w:r>
        <w:rPr>
          <w:rFonts w:eastAsia="Times New Roman" w:cs="Arial"/>
          <w:spacing w:val="1"/>
        </w:rPr>
        <w:softHyphen/>
        <w:t xml:space="preserve">coniferous   or   „mixed   forest”   belt.   Of   all   the   </w:t>
      </w:r>
      <w:proofErr w:type="gramStart"/>
      <w:r>
        <w:rPr>
          <w:rFonts w:eastAsia="Times New Roman" w:cs="Arial"/>
          <w:spacing w:val="1"/>
        </w:rPr>
        <w:t xml:space="preserve">woodlands,   </w:t>
      </w:r>
      <w:proofErr w:type="gramEnd"/>
      <w:r>
        <w:rPr>
          <w:rFonts w:eastAsia="Times New Roman" w:cs="Arial"/>
          <w:spacing w:val="1"/>
        </w:rPr>
        <w:t xml:space="preserve">51%   of   stands   are   dominated   by  deciduous   species   </w:t>
      </w:r>
      <w:r>
        <w:rPr>
          <w:rFonts w:eastAsia="Times New Roman" w:cs="Arial"/>
          <w:spacing w:val="1"/>
        </w:rPr>
        <w:t>and   49%   by   coniferous   species   making   landscapes   very   diverse.   Without   t</w:t>
      </w:r>
      <w:r>
        <w:rPr>
          <w:rFonts w:eastAsia="Times New Roman" w:cs="Arial"/>
          <w:spacing w:val="1"/>
        </w:rPr>
        <w:lastRenderedPageBreak/>
        <w:t xml:space="preserve">he   </w:t>
      </w:r>
      <w:proofErr w:type="gramStart"/>
      <w:r>
        <w:rPr>
          <w:rFonts w:eastAsia="Times New Roman" w:cs="Arial"/>
          <w:spacing w:val="1"/>
        </w:rPr>
        <w:t>limiting  influence</w:t>
      </w:r>
      <w:proofErr w:type="gramEnd"/>
      <w:r>
        <w:rPr>
          <w:rFonts w:eastAsia="Times New Roman" w:cs="Arial"/>
          <w:spacing w:val="1"/>
        </w:rPr>
        <w:t xml:space="preserve">  of  humans  forests  would  cover  most  of  Estonia’s  mainland.  </w:t>
      </w:r>
      <w:proofErr w:type="gramStart"/>
      <w:r>
        <w:rPr>
          <w:rFonts w:eastAsia="Times New Roman" w:cs="Arial"/>
          <w:spacing w:val="1"/>
        </w:rPr>
        <w:t>In  fact</w:t>
      </w:r>
      <w:proofErr w:type="gramEnd"/>
      <w:r>
        <w:rPr>
          <w:rFonts w:eastAsia="Times New Roman" w:cs="Arial"/>
          <w:spacing w:val="1"/>
        </w:rPr>
        <w:t>,  3,000  years  ago  more  than  80%  of  the  mainland  was  c</w:t>
      </w:r>
      <w:r>
        <w:rPr>
          <w:rFonts w:eastAsia="Times New Roman" w:cs="Arial"/>
          <w:spacing w:val="1"/>
        </w:rPr>
        <w:t xml:space="preserve">overed  with  forests.  </w:t>
      </w:r>
      <w:proofErr w:type="gramStart"/>
      <w:r>
        <w:rPr>
          <w:rFonts w:eastAsia="Times New Roman" w:cs="Arial"/>
          <w:spacing w:val="1"/>
        </w:rPr>
        <w:t>Due  to</w:t>
      </w:r>
      <w:proofErr w:type="gramEnd"/>
      <w:r>
        <w:rPr>
          <w:rFonts w:eastAsia="Times New Roman" w:cs="Arial"/>
          <w:spacing w:val="1"/>
        </w:rPr>
        <w:t>  human  activity,  100  years  ago  forests  covered  only  30%  of  4.5  million  hectares  of  the  total  area  of  Estonia. </w:t>
      </w:r>
      <w:r>
        <w:rPr>
          <w:rFonts w:eastAsia="Times New Roman" w:cs="Arial"/>
          <w:spacing w:val="1"/>
        </w:rPr>
        <w:t xml:space="preserve"> </w:t>
      </w:r>
    </w:p>
    <w:p w14:paraId="7CF188C6" w14:textId="77777777" w:rsidR="00000000" w:rsidRDefault="00052066">
      <w:pPr>
        <w:spacing w:line="260" w:lineRule="atLeast"/>
        <w:divId w:val="1317101636"/>
        <w:rPr>
          <w:rFonts w:eastAsia="Times New Roman" w:cs="Arial"/>
          <w:spacing w:val="1"/>
        </w:rPr>
      </w:pPr>
      <w:proofErr w:type="gramStart"/>
      <w:r>
        <w:rPr>
          <w:rFonts w:eastAsia="Times New Roman" w:cs="Arial"/>
          <w:spacing w:val="1"/>
        </w:rPr>
        <w:t>The  diversity</w:t>
      </w:r>
      <w:proofErr w:type="gramEnd"/>
      <w:r>
        <w:rPr>
          <w:rFonts w:eastAsia="Times New Roman" w:cs="Arial"/>
          <w:spacing w:val="1"/>
        </w:rPr>
        <w:t>  of  forests  in  Estonia  provides  habitats  for  a  large  number  of  speci</w:t>
      </w:r>
      <w:r>
        <w:rPr>
          <w:rFonts w:eastAsia="Times New Roman" w:cs="Arial"/>
          <w:spacing w:val="1"/>
        </w:rPr>
        <w:t>es.   </w:t>
      </w:r>
      <w:r>
        <w:rPr>
          <w:rFonts w:eastAsia="Times New Roman" w:cs="Arial"/>
          <w:spacing w:val="1"/>
        </w:rPr>
        <w:t xml:space="preserve"> </w:t>
      </w:r>
    </w:p>
    <w:p w14:paraId="5919187A" w14:textId="77777777" w:rsidR="00000000" w:rsidRDefault="00052066">
      <w:pPr>
        <w:spacing w:line="260" w:lineRule="atLeast"/>
        <w:divId w:val="1116371154"/>
        <w:rPr>
          <w:rFonts w:eastAsia="Times New Roman" w:cs="Arial"/>
          <w:spacing w:val="1"/>
        </w:rPr>
      </w:pPr>
      <w:r>
        <w:rPr>
          <w:rFonts w:eastAsia="Times New Roman" w:cs="Arial"/>
          <w:spacing w:val="1"/>
        </w:rPr>
        <w:t xml:space="preserve">“Estonian   Forestry   Development   Program   until   </w:t>
      </w:r>
      <w:proofErr w:type="gramStart"/>
      <w:r>
        <w:rPr>
          <w:rFonts w:eastAsia="Times New Roman" w:cs="Arial"/>
          <w:spacing w:val="1"/>
        </w:rPr>
        <w:t>2020”   </w:t>
      </w:r>
      <w:proofErr w:type="gramEnd"/>
      <w:r>
        <w:rPr>
          <w:rFonts w:eastAsia="Times New Roman" w:cs="Arial"/>
          <w:spacing w:val="1"/>
        </w:rPr>
        <w:t xml:space="preserve">is   the   framework   document   for   the   development   of  forestry  in  the  current  decade.  </w:t>
      </w:r>
      <w:proofErr w:type="gramStart"/>
      <w:r>
        <w:rPr>
          <w:rFonts w:eastAsia="Times New Roman" w:cs="Arial"/>
          <w:spacing w:val="1"/>
        </w:rPr>
        <w:t>The  principal</w:t>
      </w:r>
      <w:proofErr w:type="gramEnd"/>
      <w:r>
        <w:rPr>
          <w:rFonts w:eastAsia="Times New Roman" w:cs="Arial"/>
          <w:spacing w:val="1"/>
        </w:rPr>
        <w:t>  goals  are  to  safeguard  the  productivity  and  viability  of  fo</w:t>
      </w:r>
      <w:r>
        <w:rPr>
          <w:rFonts w:eastAsia="Times New Roman" w:cs="Arial"/>
          <w:spacing w:val="1"/>
        </w:rPr>
        <w:t xml:space="preserve">rests  and  ensure  the  varied  and  effective  use  of  forests.  </w:t>
      </w:r>
      <w:proofErr w:type="gramStart"/>
      <w:r>
        <w:rPr>
          <w:rFonts w:eastAsia="Times New Roman" w:cs="Arial"/>
          <w:spacing w:val="1"/>
        </w:rPr>
        <w:t>In  order</w:t>
      </w:r>
      <w:proofErr w:type="gramEnd"/>
      <w:r>
        <w:rPr>
          <w:rFonts w:eastAsia="Times New Roman" w:cs="Arial"/>
          <w:spacing w:val="1"/>
        </w:rPr>
        <w:t>  to  achieve  these  aims,  it  is  important  to  procure  wood  in  the  amount  of  the  increment,  to  increase  the  volume  of  reforestation,  to  keep  at  least  10%  o</w:t>
      </w:r>
      <w:r>
        <w:rPr>
          <w:rFonts w:eastAsia="Times New Roman" w:cs="Arial"/>
          <w:spacing w:val="1"/>
        </w:rPr>
        <w:t xml:space="preserve">f  forestland  area  under  strict  protection  and  to  enhance  the  variety  of  protected  forests.  </w:t>
      </w:r>
      <w:proofErr w:type="gramStart"/>
      <w:r>
        <w:rPr>
          <w:rFonts w:eastAsia="Times New Roman" w:cs="Arial"/>
          <w:spacing w:val="1"/>
        </w:rPr>
        <w:t>The  share</w:t>
      </w:r>
      <w:proofErr w:type="gramEnd"/>
      <w:r>
        <w:rPr>
          <w:rFonts w:eastAsia="Times New Roman" w:cs="Arial"/>
          <w:spacing w:val="1"/>
        </w:rPr>
        <w:t>  of  strictly  protected  forests  in  the  total  area  of  forests  was  10%  already  in  2010,  but  further  efforts  are  required  to</w:t>
      </w:r>
      <w:r>
        <w:rPr>
          <w:rFonts w:eastAsia="Times New Roman" w:cs="Arial"/>
          <w:spacing w:val="1"/>
        </w:rPr>
        <w:t>  ensure  that  a  variety  of  forests   are   represented   in   the   strictly   protected   areas.   (Statistical   Yearbook   of   Estonia   2014   –   Statistics </w:t>
      </w:r>
      <w:r>
        <w:rPr>
          <w:rFonts w:eastAsia="Times New Roman" w:cs="Arial"/>
          <w:spacing w:val="1"/>
        </w:rPr>
        <w:t xml:space="preserve"> </w:t>
      </w:r>
    </w:p>
    <w:p w14:paraId="32CCE699" w14:textId="77777777" w:rsidR="00000000" w:rsidRDefault="00052066">
      <w:pPr>
        <w:spacing w:line="260" w:lineRule="atLeast"/>
        <w:divId w:val="707148533"/>
        <w:rPr>
          <w:rFonts w:eastAsia="Times New Roman" w:cs="Arial"/>
          <w:spacing w:val="1"/>
        </w:rPr>
      </w:pPr>
      <w:proofErr w:type="gramStart"/>
      <w:r>
        <w:rPr>
          <w:rFonts w:eastAsia="Times New Roman" w:cs="Arial"/>
          <w:spacing w:val="1"/>
        </w:rPr>
        <w:t>Estonia)  Private</w:t>
      </w:r>
      <w:proofErr w:type="gramEnd"/>
      <w:r>
        <w:rPr>
          <w:rFonts w:eastAsia="Times New Roman" w:cs="Arial"/>
          <w:spacing w:val="1"/>
        </w:rPr>
        <w:t>  forest  owners  manage  around  1.01  million  ha  (47%)  of  fores</w:t>
      </w:r>
      <w:r>
        <w:rPr>
          <w:rFonts w:eastAsia="Times New Roman" w:cs="Arial"/>
          <w:spacing w:val="1"/>
        </w:rPr>
        <w:t>t  land  in  Estonia  with  the  growing  stock  of  around  275  million  m3.   </w:t>
      </w:r>
      <w:r>
        <w:rPr>
          <w:rFonts w:eastAsia="Times New Roman" w:cs="Arial"/>
          <w:spacing w:val="1"/>
        </w:rPr>
        <w:t xml:space="preserve"> </w:t>
      </w:r>
    </w:p>
    <w:p w14:paraId="79B75318" w14:textId="77777777" w:rsidR="00000000" w:rsidRDefault="00052066">
      <w:pPr>
        <w:spacing w:line="260" w:lineRule="atLeast"/>
        <w:divId w:val="1876502139"/>
        <w:rPr>
          <w:rFonts w:eastAsia="Times New Roman" w:cs="Arial"/>
          <w:spacing w:val="1"/>
        </w:rPr>
      </w:pPr>
      <w:r>
        <w:rPr>
          <w:rFonts w:eastAsia="Times New Roman" w:cs="Arial"/>
          <w:spacing w:val="1"/>
        </w:rPr>
        <w:t>40</w:t>
      </w:r>
      <w:proofErr w:type="gramStart"/>
      <w:r>
        <w:rPr>
          <w:rFonts w:eastAsia="Times New Roman" w:cs="Arial"/>
          <w:spacing w:val="1"/>
        </w:rPr>
        <w:t>%  of</w:t>
      </w:r>
      <w:proofErr w:type="gramEnd"/>
      <w:r>
        <w:rPr>
          <w:rFonts w:eastAsia="Times New Roman" w:cs="Arial"/>
          <w:spacing w:val="1"/>
        </w:rPr>
        <w:t xml:space="preserve">  the  forests  of  Estonia  belong  to  the  state.  </w:t>
      </w:r>
      <w:proofErr w:type="gramStart"/>
      <w:r>
        <w:rPr>
          <w:rFonts w:eastAsia="Times New Roman" w:cs="Arial"/>
          <w:spacing w:val="1"/>
        </w:rPr>
        <w:t>These  forests</w:t>
      </w:r>
      <w:proofErr w:type="gramEnd"/>
      <w:r>
        <w:rPr>
          <w:rFonts w:eastAsia="Times New Roman" w:cs="Arial"/>
          <w:spacing w:val="1"/>
        </w:rPr>
        <w:t>  are  maintained,  grown  and  managed  by  the  State  Forest  Management  Centre  (RMK). </w:t>
      </w:r>
      <w:r>
        <w:rPr>
          <w:rFonts w:eastAsia="Times New Roman" w:cs="Arial"/>
          <w:spacing w:val="1"/>
        </w:rPr>
        <w:t xml:space="preserve"> </w:t>
      </w:r>
    </w:p>
    <w:p w14:paraId="08FBC5EB" w14:textId="77777777" w:rsidR="00000000" w:rsidRDefault="00052066">
      <w:pPr>
        <w:spacing w:line="260" w:lineRule="atLeast"/>
        <w:divId w:val="1398868501"/>
        <w:rPr>
          <w:rFonts w:eastAsia="Times New Roman" w:cs="Arial"/>
          <w:spacing w:val="1"/>
        </w:rPr>
      </w:pPr>
      <w:proofErr w:type="gramStart"/>
      <w:r>
        <w:rPr>
          <w:rFonts w:eastAsia="Times New Roman" w:cs="Arial"/>
          <w:spacing w:val="1"/>
        </w:rPr>
        <w:t>FSC </w:t>
      </w:r>
      <w:r>
        <w:rPr>
          <w:rFonts w:eastAsia="Times New Roman" w:cs="Arial"/>
          <w:spacing w:val="1"/>
        </w:rPr>
        <w:t xml:space="preserve"> and</w:t>
      </w:r>
      <w:proofErr w:type="gramEnd"/>
      <w:r>
        <w:rPr>
          <w:rFonts w:eastAsia="Times New Roman" w:cs="Arial"/>
          <w:spacing w:val="1"/>
        </w:rPr>
        <w:t>  PEFC  certificates  are  used  in  Estonia. </w:t>
      </w:r>
      <w:r>
        <w:rPr>
          <w:rFonts w:eastAsia="Times New Roman" w:cs="Arial"/>
          <w:spacing w:val="1"/>
        </w:rPr>
        <w:t xml:space="preserve"> </w:t>
      </w:r>
    </w:p>
    <w:p w14:paraId="3DE48823" w14:textId="77777777" w:rsidR="00000000" w:rsidRDefault="00052066">
      <w:pPr>
        <w:spacing w:line="260" w:lineRule="atLeast"/>
        <w:divId w:val="1187405796"/>
        <w:rPr>
          <w:rFonts w:eastAsia="Times New Roman" w:cs="Arial"/>
          <w:spacing w:val="1"/>
        </w:rPr>
      </w:pPr>
      <w:proofErr w:type="gramStart"/>
      <w:r>
        <w:rPr>
          <w:rFonts w:eastAsia="Times New Roman" w:cs="Arial"/>
          <w:spacing w:val="1"/>
        </w:rPr>
        <w:t>In  December</w:t>
      </w:r>
      <w:proofErr w:type="gramEnd"/>
      <w:r>
        <w:rPr>
          <w:rFonts w:eastAsia="Times New Roman" w:cs="Arial"/>
          <w:spacing w:val="1"/>
        </w:rPr>
        <w:t>  2021  total  PEFC  Certified  Forest  Area  in  Estonia  was  1 312 182  hectares  and  84  Chain  of  Custody  Certificates.      </w:t>
      </w:r>
      <w:r>
        <w:rPr>
          <w:rFonts w:eastAsia="Times New Roman" w:cs="Arial"/>
          <w:spacing w:val="1"/>
        </w:rPr>
        <w:t> </w:t>
      </w:r>
    </w:p>
    <w:p w14:paraId="0347704C" w14:textId="77777777" w:rsidR="00000000" w:rsidRDefault="00052066">
      <w:pPr>
        <w:spacing w:line="260" w:lineRule="atLeast"/>
        <w:divId w:val="1185901071"/>
        <w:rPr>
          <w:rFonts w:eastAsia="Times New Roman" w:cs="Arial"/>
          <w:spacing w:val="1"/>
        </w:rPr>
      </w:pPr>
      <w:r>
        <w:rPr>
          <w:rFonts w:eastAsia="Times New Roman" w:cs="Arial"/>
          <w:spacing w:val="1"/>
        </w:rPr>
        <w:t>In   December   2021   total   FSC   Certified   Forest  </w:t>
      </w:r>
      <w:r>
        <w:rPr>
          <w:rFonts w:eastAsia="Times New Roman" w:cs="Arial"/>
          <w:spacing w:val="1"/>
        </w:rPr>
        <w:t xml:space="preserve"> Area   in   Estonia   was   1 238 953   hectares with 9 Forest Managements Certificates   and   312   Chain   </w:t>
      </w:r>
      <w:proofErr w:type="gramStart"/>
      <w:r>
        <w:rPr>
          <w:rFonts w:eastAsia="Times New Roman" w:cs="Arial"/>
          <w:spacing w:val="1"/>
        </w:rPr>
        <w:t>of  Custody</w:t>
      </w:r>
      <w:proofErr w:type="gramEnd"/>
      <w:r>
        <w:rPr>
          <w:rFonts w:eastAsia="Times New Roman" w:cs="Arial"/>
          <w:spacing w:val="1"/>
        </w:rPr>
        <w:t>  Certificates.</w:t>
      </w:r>
      <w:r>
        <w:rPr>
          <w:rFonts w:eastAsia="Times New Roman" w:cs="Arial"/>
          <w:spacing w:val="1"/>
        </w:rPr>
        <w:t xml:space="preserve"> </w:t>
      </w:r>
    </w:p>
    <w:p w14:paraId="66ABD552" w14:textId="77777777" w:rsidR="00000000" w:rsidRDefault="00052066">
      <w:pPr>
        <w:spacing w:line="260" w:lineRule="atLeast"/>
        <w:divId w:val="23136178"/>
        <w:rPr>
          <w:rFonts w:eastAsia="Times New Roman" w:cs="Arial"/>
          <w:spacing w:val="1"/>
        </w:rPr>
      </w:pPr>
      <w:proofErr w:type="gramStart"/>
      <w:r>
        <w:rPr>
          <w:rFonts w:eastAsia="Times New Roman" w:cs="Arial"/>
          <w:spacing w:val="1"/>
        </w:rPr>
        <w:t>CITES  came</w:t>
      </w:r>
      <w:proofErr w:type="gramEnd"/>
      <w:r>
        <w:rPr>
          <w:rFonts w:eastAsia="Times New Roman" w:cs="Arial"/>
          <w:spacing w:val="1"/>
        </w:rPr>
        <w:t>  into  force  in  Estonia  on  20/10/1992.  </w:t>
      </w:r>
    </w:p>
    <w:p w14:paraId="69239018" w14:textId="77777777" w:rsidR="00000000" w:rsidRDefault="00052066">
      <w:pPr>
        <w:spacing w:line="260" w:lineRule="atLeast"/>
        <w:divId w:val="1775858553"/>
        <w:rPr>
          <w:rFonts w:eastAsia="Times New Roman" w:cs="Arial"/>
          <w:spacing w:val="1"/>
        </w:rPr>
      </w:pPr>
    </w:p>
    <w:p w14:paraId="145BC961" w14:textId="77777777" w:rsidR="00000000" w:rsidRDefault="00052066">
      <w:pPr>
        <w:spacing w:line="260" w:lineRule="atLeast"/>
        <w:divId w:val="93478700"/>
        <w:rPr>
          <w:rFonts w:eastAsia="Times New Roman" w:cs="Arial"/>
          <w:spacing w:val="1"/>
        </w:rPr>
      </w:pPr>
      <w:r>
        <w:rPr>
          <w:rFonts w:eastAsia="Times New Roman" w:cs="Arial"/>
          <w:spacing w:val="1"/>
          <w:u w:val="single"/>
        </w:rPr>
        <w:t>Net turnover of Forest sector in Estonia (million EUR</w:t>
      </w:r>
      <w:r>
        <w:rPr>
          <w:rFonts w:eastAsia="Times New Roman" w:cs="Arial"/>
          <w:spacing w:val="1"/>
          <w:u w:val="single"/>
        </w:rPr>
        <w:t>)</w:t>
      </w:r>
    </w:p>
    <w:p w14:paraId="20494DDB" w14:textId="77777777" w:rsidR="00000000" w:rsidRDefault="00052066">
      <w:pPr>
        <w:spacing w:line="260" w:lineRule="atLeast"/>
        <w:divId w:val="1164930199"/>
        <w:rPr>
          <w:rFonts w:eastAsia="Times New Roman" w:cs="Arial"/>
          <w:spacing w:val="1"/>
        </w:rPr>
      </w:pPr>
      <w:r>
        <w:rPr>
          <w:rFonts w:asciiTheme="minorHAnsi" w:hAnsiTheme="minorHAnsi"/>
          <w:noProof/>
          <w:sz w:val="22"/>
          <w:szCs w:val="22"/>
        </w:rPr>
        <w:lastRenderedPageBreak/>
        <w:drawing>
          <wp:inline distT="0" distB="0" distL="0" distR="0">
            <wp:extent cx="6096000" cy="455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4552950"/>
                    </a:xfrm>
                    <a:prstGeom prst="rect">
                      <a:avLst/>
                    </a:prstGeom>
                    <a:noFill/>
                    <a:ln>
                      <a:noFill/>
                    </a:ln>
                  </pic:spPr>
                </pic:pic>
              </a:graphicData>
            </a:graphic>
          </wp:inline>
        </w:drawing>
      </w:r>
    </w:p>
    <w:p w14:paraId="373C8634" w14:textId="77777777" w:rsidR="00000000" w:rsidRDefault="00052066">
      <w:pPr>
        <w:spacing w:line="260" w:lineRule="atLeast"/>
        <w:divId w:val="189147009"/>
        <w:rPr>
          <w:rFonts w:eastAsia="Times New Roman" w:cs="Arial"/>
          <w:spacing w:val="1"/>
        </w:rPr>
      </w:pPr>
    </w:p>
    <w:p w14:paraId="27F542D9" w14:textId="77777777" w:rsidR="00000000" w:rsidRDefault="00052066">
      <w:pPr>
        <w:spacing w:line="260" w:lineRule="atLeast"/>
        <w:divId w:val="633102920"/>
        <w:rPr>
          <w:rFonts w:eastAsia="Times New Roman" w:cs="Arial"/>
          <w:spacing w:val="1"/>
        </w:rPr>
      </w:pPr>
      <w:r>
        <w:rPr>
          <w:rFonts w:eastAsia="Times New Roman" w:cs="Arial"/>
          <w:b/>
          <w:bCs/>
          <w:spacing w:val="1"/>
        </w:rPr>
        <w:t>The share of Estonian forest and wood industries added value compared to Estonian GDP</w:t>
      </w:r>
    </w:p>
    <w:p w14:paraId="07123D07" w14:textId="77777777" w:rsidR="00000000" w:rsidRDefault="00052066">
      <w:pPr>
        <w:spacing w:line="260" w:lineRule="atLeast"/>
        <w:divId w:val="208223032"/>
        <w:rPr>
          <w:rFonts w:eastAsia="Times New Roman" w:cs="Arial"/>
          <w:spacing w:val="1"/>
        </w:rPr>
      </w:pPr>
      <w:r>
        <w:rPr>
          <w:rFonts w:asciiTheme="minorHAnsi" w:hAnsiTheme="minorHAnsi"/>
          <w:noProof/>
          <w:sz w:val="22"/>
          <w:szCs w:val="22"/>
        </w:rPr>
        <w:drawing>
          <wp:inline distT="0" distB="0" distL="0" distR="0">
            <wp:extent cx="1752600" cy="2457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0" cy="2457450"/>
                    </a:xfrm>
                    <a:prstGeom prst="rect">
                      <a:avLst/>
                    </a:prstGeom>
                    <a:noFill/>
                    <a:ln>
                      <a:noFill/>
                    </a:ln>
                  </pic:spPr>
                </pic:pic>
              </a:graphicData>
            </a:graphic>
          </wp:inline>
        </w:drawing>
      </w:r>
      <w:r>
        <w:rPr>
          <w:rFonts w:eastAsia="Times New Roman" w:cs="Arial"/>
          <w:b/>
          <w:bCs/>
          <w:spacing w:val="1"/>
        </w:rPr>
        <w:br/>
        <w:t> </w:t>
      </w:r>
    </w:p>
    <w:p w14:paraId="61BBDFE0" w14:textId="77777777" w:rsidR="00000000" w:rsidRDefault="00052066">
      <w:pPr>
        <w:spacing w:line="260" w:lineRule="atLeast"/>
        <w:divId w:val="1699354081"/>
        <w:rPr>
          <w:rFonts w:eastAsia="Times New Roman" w:cs="Arial"/>
          <w:spacing w:val="1"/>
        </w:rPr>
      </w:pPr>
      <w:r>
        <w:rPr>
          <w:rFonts w:eastAsia="Times New Roman" w:cs="Arial"/>
          <w:b/>
          <w:bCs/>
          <w:spacing w:val="1"/>
        </w:rPr>
        <w:t> </w:t>
      </w:r>
    </w:p>
    <w:p w14:paraId="7F888643" w14:textId="77777777" w:rsidR="00000000" w:rsidRDefault="00052066">
      <w:pPr>
        <w:pStyle w:val="Heading2"/>
        <w:spacing w:line="260" w:lineRule="atLeast"/>
        <w:divId w:val="23136178"/>
        <w:rPr>
          <w:rFonts w:ascii="Arial" w:eastAsia="Times New Roman" w:hAnsi="Arial" w:cs="Arial"/>
          <w:spacing w:val="1"/>
          <w:sz w:val="36"/>
          <w:szCs w:val="36"/>
        </w:rPr>
      </w:pPr>
      <w:r>
        <w:rPr>
          <w:rFonts w:ascii="Arial" w:eastAsia="Times New Roman" w:hAnsi="Arial" w:cs="Arial"/>
          <w:spacing w:val="1"/>
        </w:rPr>
        <w:t>EMPLOYMENTNUMBERS</w:t>
      </w:r>
    </w:p>
    <w:p w14:paraId="3393BC24" w14:textId="77777777" w:rsidR="00000000" w:rsidRDefault="00052066">
      <w:pPr>
        <w:pStyle w:val="Heading2"/>
        <w:spacing w:line="260" w:lineRule="atLeast"/>
        <w:divId w:val="23136178"/>
        <w:rPr>
          <w:rFonts w:ascii="Arial" w:eastAsia="Times New Roman" w:hAnsi="Arial" w:cs="Arial"/>
          <w:spacing w:val="1"/>
        </w:rPr>
      </w:pPr>
      <w:r>
        <w:rPr>
          <w:rFonts w:asciiTheme="minorHAnsi" w:hAnsiTheme="minorHAnsi"/>
          <w:b/>
          <w:bCs/>
          <w:noProof/>
          <w:sz w:val="22"/>
          <w:szCs w:val="22"/>
        </w:rPr>
        <w:lastRenderedPageBreak/>
        <w:drawing>
          <wp:inline distT="0" distB="0" distL="0" distR="0">
            <wp:extent cx="3800475" cy="2476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0475" cy="2476500"/>
                    </a:xfrm>
                    <a:prstGeom prst="rect">
                      <a:avLst/>
                    </a:prstGeom>
                    <a:noFill/>
                    <a:ln>
                      <a:noFill/>
                    </a:ln>
                  </pic:spPr>
                </pic:pic>
              </a:graphicData>
            </a:graphic>
          </wp:inline>
        </w:drawing>
      </w:r>
      <w:r>
        <w:rPr>
          <w:rFonts w:ascii="Arial" w:eastAsia="Times New Roman" w:hAnsi="Arial" w:cs="Arial"/>
          <w:spacing w:val="1"/>
        </w:rPr>
        <w:br/>
      </w:r>
    </w:p>
    <w:p w14:paraId="45A57809" w14:textId="77777777" w:rsidR="00000000" w:rsidRDefault="00052066">
      <w:pPr>
        <w:spacing w:line="260" w:lineRule="atLeast"/>
        <w:divId w:val="1775855259"/>
        <w:rPr>
          <w:rFonts w:eastAsia="Times New Roman" w:cs="Arial"/>
          <w:spacing w:val="1"/>
        </w:rPr>
      </w:pPr>
    </w:p>
    <w:p w14:paraId="77FACBA1" w14:textId="77777777" w:rsidR="00000000" w:rsidRDefault="00052066">
      <w:pPr>
        <w:spacing w:line="260" w:lineRule="atLeast"/>
        <w:divId w:val="2071532228"/>
        <w:rPr>
          <w:rFonts w:eastAsia="Times New Roman" w:cs="Arial"/>
          <w:spacing w:val="1"/>
        </w:rPr>
      </w:pPr>
      <w:r>
        <w:rPr>
          <w:rFonts w:eastAsia="Times New Roman" w:cs="Arial"/>
          <w:spacing w:val="1"/>
        </w:rPr>
        <w:t>SIA PATA has not purchased SBP feedstock from Estonia.</w:t>
      </w:r>
    </w:p>
    <w:p w14:paraId="6C3D9763" w14:textId="77777777" w:rsidR="005415D2" w:rsidRDefault="005415D2">
      <w:pPr>
        <w:spacing w:after="0" w:line="240" w:lineRule="auto"/>
        <w:rPr>
          <w:rFonts w:cstheme="minorHAnsi"/>
          <w:lang w:val="en-US" w:eastAsia="nl-NL"/>
        </w:rPr>
      </w:pPr>
    </w:p>
    <w:p w14:paraId="11E5B225" w14:textId="77777777" w:rsidR="005415D2" w:rsidRDefault="005415D2">
      <w:pPr>
        <w:spacing w:after="0" w:line="240" w:lineRule="auto"/>
        <w:rPr>
          <w:rFonts w:cs="Arial"/>
          <w:lang w:val="en-US" w:eastAsia="nl-NL"/>
        </w:rPr>
      </w:pPr>
    </w:p>
    <w:p w14:paraId="6F5264C0" w14:textId="77777777" w:rsidR="002C2A0D" w:rsidRPr="000C27C4" w:rsidRDefault="002C2A0D">
      <w:pPr>
        <w:spacing w:after="0" w:line="240" w:lineRule="auto"/>
        <w:rPr>
          <w:rFonts w:cs="Arial"/>
          <w:lang w:val="en-US" w:eastAsia="nl-NL"/>
        </w:rPr>
      </w:pPr>
    </w:p>
    <w:p w14:paraId="264215EC" w14:textId="66B2DBED" w:rsidR="005415D2" w:rsidRDefault="00083003" w:rsidP="000C27C4">
      <w:pPr>
        <w:pStyle w:val="Heading2"/>
      </w:pPr>
      <w:bookmarkStart w:id="6" w:name="_Toc63846076"/>
      <w:r>
        <w:t>Actions taken to promote certification amongst feedstock supplier</w:t>
      </w:r>
      <w:bookmarkEnd w:id="5"/>
      <w:bookmarkEnd w:id="6"/>
    </w:p>
    <w:p w14:paraId="780F626D" w14:textId="77777777" w:rsidR="00000000" w:rsidRDefault="00052066">
      <w:pPr>
        <w:spacing w:line="260" w:lineRule="atLeast"/>
        <w:divId w:val="871306914"/>
        <w:rPr>
          <w:rFonts w:eastAsia="Times New Roman" w:cs="Arial"/>
          <w:spacing w:val="1"/>
        </w:rPr>
      </w:pPr>
      <w:proofErr w:type="gramStart"/>
      <w:r>
        <w:rPr>
          <w:rFonts w:eastAsia="Times New Roman" w:cs="Arial"/>
          <w:spacing w:val="1"/>
        </w:rPr>
        <w:t>SIA  PATA</w:t>
      </w:r>
      <w:proofErr w:type="gramEnd"/>
      <w:r>
        <w:rPr>
          <w:rFonts w:eastAsia="Times New Roman" w:cs="Arial"/>
          <w:spacing w:val="1"/>
        </w:rPr>
        <w:t>  informs  suppliers  about  criteria  and  importance  of  FSC  and  PEFC  certificates.   </w:t>
      </w:r>
      <w:r>
        <w:rPr>
          <w:rFonts w:eastAsia="Times New Roman" w:cs="Arial"/>
          <w:spacing w:val="1"/>
        </w:rPr>
        <w:t xml:space="preserve"> </w:t>
      </w:r>
    </w:p>
    <w:p w14:paraId="013FDE6C" w14:textId="77777777" w:rsidR="00000000" w:rsidRDefault="00052066">
      <w:pPr>
        <w:spacing w:line="260" w:lineRule="atLeast"/>
        <w:divId w:val="1466122285"/>
        <w:rPr>
          <w:rFonts w:eastAsia="Times New Roman" w:cs="Arial"/>
          <w:spacing w:val="1"/>
        </w:rPr>
      </w:pPr>
      <w:proofErr w:type="gramStart"/>
      <w:r>
        <w:rPr>
          <w:rFonts w:eastAsia="Times New Roman" w:cs="Arial"/>
          <w:spacing w:val="1"/>
        </w:rPr>
        <w:t>SIA  PATA</w:t>
      </w:r>
      <w:proofErr w:type="gramEnd"/>
      <w:r>
        <w:rPr>
          <w:rFonts w:eastAsia="Times New Roman" w:cs="Arial"/>
          <w:spacing w:val="1"/>
        </w:rPr>
        <w:t>  also  is  informing  suppliers  about  SBP  objectives  and  requirements  and  importance  to  comply  with  them. </w:t>
      </w:r>
      <w:r>
        <w:rPr>
          <w:rFonts w:eastAsia="Times New Roman" w:cs="Arial"/>
          <w:spacing w:val="1"/>
        </w:rPr>
        <w:t xml:space="preserve"> </w:t>
      </w:r>
    </w:p>
    <w:p w14:paraId="0A447B3A" w14:textId="77777777" w:rsidR="00000000" w:rsidRDefault="00052066">
      <w:pPr>
        <w:spacing w:line="260" w:lineRule="atLeast"/>
        <w:divId w:val="545725081"/>
        <w:rPr>
          <w:rFonts w:eastAsia="Times New Roman" w:cs="Arial"/>
          <w:spacing w:val="1"/>
        </w:rPr>
      </w:pPr>
      <w:r>
        <w:rPr>
          <w:rFonts w:eastAsia="Times New Roman" w:cs="Arial"/>
          <w:spacing w:val="1"/>
        </w:rPr>
        <w:t xml:space="preserve">Feedstocks for biomass production are supplied from FSC and PEFC certified forests, </w:t>
      </w:r>
      <w:proofErr w:type="gramStart"/>
      <w:r>
        <w:rPr>
          <w:rFonts w:eastAsia="Times New Roman" w:cs="Arial"/>
          <w:spacing w:val="1"/>
        </w:rPr>
        <w:t>and  part</w:t>
      </w:r>
      <w:proofErr w:type="gramEnd"/>
      <w:r>
        <w:rPr>
          <w:rFonts w:eastAsia="Times New Roman" w:cs="Arial"/>
          <w:spacing w:val="1"/>
        </w:rPr>
        <w:t xml:space="preserve"> from Latvian private forests (</w:t>
      </w:r>
      <w:proofErr w:type="spellStart"/>
      <w:r>
        <w:rPr>
          <w:rFonts w:eastAsia="Times New Roman" w:cs="Arial"/>
          <w:spacing w:val="1"/>
        </w:rPr>
        <w:t>non certified</w:t>
      </w:r>
      <w:proofErr w:type="spellEnd"/>
      <w:r>
        <w:rPr>
          <w:rFonts w:eastAsia="Times New Roman" w:cs="Arial"/>
          <w:spacing w:val="1"/>
        </w:rPr>
        <w:t>).  40% of the total SBP-compliant biomass amount makes secondary feedstocks. The main part of feedstocks – 80% - are F</w:t>
      </w:r>
      <w:r>
        <w:rPr>
          <w:rFonts w:eastAsia="Times New Roman" w:cs="Arial"/>
          <w:spacing w:val="1"/>
        </w:rPr>
        <w:t>SC or PEFC certified</w:t>
      </w:r>
      <w:r>
        <w:rPr>
          <w:rFonts w:eastAsia="Times New Roman" w:cs="Arial"/>
          <w:spacing w:val="1"/>
        </w:rPr>
        <w:t>.</w:t>
      </w:r>
    </w:p>
    <w:p w14:paraId="0F31BCB1" w14:textId="77777777" w:rsidR="000C27C4" w:rsidRDefault="000C27C4">
      <w:pPr>
        <w:spacing w:after="0" w:line="240" w:lineRule="auto"/>
        <w:rPr>
          <w:rFonts w:cstheme="minorHAnsi"/>
          <w:lang w:val="en-US" w:eastAsia="nl-NL"/>
        </w:rPr>
      </w:pPr>
    </w:p>
    <w:p w14:paraId="1CFBAD37" w14:textId="0ECCDBA6" w:rsidR="005415D2" w:rsidRDefault="00083003" w:rsidP="000C27C4">
      <w:pPr>
        <w:pStyle w:val="Heading2"/>
      </w:pPr>
      <w:bookmarkStart w:id="7" w:name="_Toc412646200"/>
      <w:bookmarkStart w:id="8" w:name="_Toc63846077"/>
      <w:r>
        <w:t>Quantification of the Supply Base</w:t>
      </w:r>
      <w:bookmarkEnd w:id="7"/>
      <w:bookmarkEnd w:id="8"/>
    </w:p>
    <w:p w14:paraId="7E30C821" w14:textId="77777777" w:rsidR="005415D2" w:rsidRPr="000C27C4" w:rsidRDefault="00083003" w:rsidP="000C27C4">
      <w:pPr>
        <w:pStyle w:val="Kop51"/>
      </w:pPr>
      <w:r w:rsidRPr="000C27C4">
        <w:t>Supply Base</w:t>
      </w:r>
    </w:p>
    <w:p w14:paraId="307AA030" w14:textId="77777777" w:rsidR="005415D2" w:rsidRDefault="00083003">
      <w:pPr>
        <w:pStyle w:val="Lijstalinea1"/>
        <w:numPr>
          <w:ilvl w:val="0"/>
          <w:numId w:val="10"/>
        </w:numPr>
      </w:pPr>
      <w:r>
        <w:rPr>
          <w:b/>
          <w:bCs/>
        </w:rPr>
        <w:t>Total Supply Base area (million ha)</w:t>
      </w:r>
      <w:r>
        <w:t>: 7,42</w:t>
      </w:r>
    </w:p>
    <w:p w14:paraId="6B601133" w14:textId="77777777" w:rsidR="005415D2" w:rsidRDefault="00083003">
      <w:pPr>
        <w:pStyle w:val="Lijstalinea1"/>
        <w:numPr>
          <w:ilvl w:val="0"/>
          <w:numId w:val="10"/>
        </w:numPr>
      </w:pPr>
      <w:r>
        <w:rPr>
          <w:b/>
          <w:bCs/>
        </w:rPr>
        <w:t>Tenure by type (million ha):</w:t>
      </w:r>
      <w:r>
        <w:t>3.40 (Privately owned), 3.46 (Public), 0.56 (Community concession)</w:t>
      </w:r>
    </w:p>
    <w:p w14:paraId="5F80C178" w14:textId="77777777" w:rsidR="005415D2" w:rsidRDefault="00083003">
      <w:pPr>
        <w:pStyle w:val="Lijstalinea1"/>
        <w:numPr>
          <w:ilvl w:val="0"/>
          <w:numId w:val="10"/>
        </w:numPr>
      </w:pPr>
      <w:r>
        <w:rPr>
          <w:b/>
          <w:bCs/>
        </w:rPr>
        <w:t>Forest by type (million ha):</w:t>
      </w:r>
      <w:r>
        <w:t>7.42 (Boreal)</w:t>
      </w:r>
    </w:p>
    <w:p w14:paraId="698B00D1" w14:textId="77777777" w:rsidR="005415D2" w:rsidRDefault="00083003">
      <w:pPr>
        <w:pStyle w:val="Lijstalinea1"/>
        <w:numPr>
          <w:ilvl w:val="0"/>
          <w:numId w:val="10"/>
        </w:numPr>
      </w:pPr>
      <w:r>
        <w:rPr>
          <w:b/>
          <w:bCs/>
        </w:rPr>
        <w:t>Forest by management type (million ha):</w:t>
      </w:r>
      <w:r>
        <w:t>7.42 (Managed natural)</w:t>
      </w:r>
    </w:p>
    <w:p w14:paraId="14AB452B" w14:textId="77777777" w:rsidR="005415D2" w:rsidRDefault="00083003">
      <w:pPr>
        <w:pStyle w:val="Lijstalinea1"/>
        <w:numPr>
          <w:ilvl w:val="0"/>
          <w:numId w:val="10"/>
        </w:numPr>
      </w:pPr>
      <w:r>
        <w:rPr>
          <w:b/>
          <w:bCs/>
        </w:rPr>
        <w:t>Certified forest by scheme (million ha):</w:t>
      </w:r>
      <w:r>
        <w:t>3.66 (FSC), 3.02 (PEFC)</w:t>
      </w:r>
    </w:p>
    <w:p w14:paraId="0989440A" w14:textId="77777777" w:rsidR="005415D2" w:rsidRDefault="005415D2">
      <w:pPr>
        <w:pStyle w:val="Lijstalinea1"/>
        <w:numPr>
          <w:ilvl w:val="0"/>
          <w:numId w:val="0"/>
        </w:numPr>
      </w:pPr>
    </w:p>
    <w:p w14:paraId="7203D6B2" w14:textId="77777777" w:rsidR="005415D2" w:rsidRDefault="00083003">
      <w:pPr>
        <w:pStyle w:val="Lijstalinea1"/>
        <w:numPr>
          <w:ilvl w:val="0"/>
          <w:numId w:val="0"/>
        </w:numPr>
        <w:rPr>
          <w:b/>
          <w:bCs/>
        </w:rPr>
      </w:pPr>
      <w:r>
        <w:rPr>
          <w:b/>
          <w:bCs/>
        </w:rPr>
        <w:t>Describe the harvesting type which best describes how your material is sourced:</w:t>
      </w:r>
      <w:r>
        <w:t xml:space="preserve"> Mix of the above</w:t>
      </w:r>
    </w:p>
    <w:p w14:paraId="18506B2B" w14:textId="77777777" w:rsidR="005415D2" w:rsidRDefault="00083003">
      <w:pPr>
        <w:pStyle w:val="Lijstalinea1"/>
        <w:numPr>
          <w:ilvl w:val="0"/>
          <w:numId w:val="0"/>
        </w:numPr>
        <w:rPr>
          <w:b/>
          <w:bCs/>
        </w:rPr>
      </w:pPr>
      <w:r>
        <w:rPr>
          <w:b/>
          <w:bCs/>
        </w:rPr>
        <w:t>Explanation:</w:t>
      </w:r>
      <w:r>
        <w:t xml:space="preserve"> Max area of clear cut shall be 2-5 ha (it`s depend from forest type); in trees felling use harvesters and chainsaws.</w:t>
      </w:r>
    </w:p>
    <w:p w14:paraId="602C17E0" w14:textId="77777777" w:rsidR="005415D2" w:rsidRDefault="00083003">
      <w:pPr>
        <w:pStyle w:val="Lijstalinea1"/>
        <w:numPr>
          <w:ilvl w:val="0"/>
          <w:numId w:val="0"/>
        </w:numPr>
        <w:rPr>
          <w:b/>
          <w:bCs/>
        </w:rPr>
      </w:pPr>
      <w:r>
        <w:rPr>
          <w:b/>
          <w:bCs/>
        </w:rPr>
        <w:t>Was the forest in the Supply Base managed for a purpose other than for energy markets?</w:t>
      </w:r>
      <w:r>
        <w:t xml:space="preserve"> Yes - Majority</w:t>
      </w:r>
    </w:p>
    <w:p w14:paraId="169CE29D" w14:textId="77777777" w:rsidR="005415D2" w:rsidRDefault="00083003">
      <w:pPr>
        <w:pStyle w:val="Lijstalinea1"/>
        <w:numPr>
          <w:ilvl w:val="0"/>
          <w:numId w:val="0"/>
        </w:numPr>
        <w:rPr>
          <w:b/>
          <w:bCs/>
        </w:rPr>
      </w:pPr>
      <w:r>
        <w:rPr>
          <w:b/>
          <w:bCs/>
        </w:rPr>
        <w:lastRenderedPageBreak/>
        <w:t>Explanation:</w:t>
      </w:r>
      <w:r>
        <w:t xml:space="preserve"> The main use of logs is the wood industry and furniture production </w:t>
      </w:r>
    </w:p>
    <w:p w14:paraId="1BAE6CA4" w14:textId="77777777" w:rsidR="005415D2" w:rsidRDefault="005415D2">
      <w:pPr>
        <w:pStyle w:val="Lijstalinea1"/>
        <w:numPr>
          <w:ilvl w:val="0"/>
          <w:numId w:val="0"/>
        </w:numPr>
        <w:rPr>
          <w:b/>
          <w:bCs/>
        </w:rPr>
      </w:pPr>
    </w:p>
    <w:p w14:paraId="0D8A8D9F" w14:textId="77777777" w:rsidR="005415D2" w:rsidRDefault="00083003">
      <w:pPr>
        <w:pStyle w:val="Lijstalinea1"/>
        <w:numPr>
          <w:ilvl w:val="0"/>
          <w:numId w:val="0"/>
        </w:numPr>
      </w:pPr>
      <w:r>
        <w:rPr>
          <w:b/>
          <w:bCs/>
        </w:rPr>
        <w:t>For the forests in the Supply Base, is there an intention to retain, restock or encourage natural regeneration within 5 years of felling?</w:t>
      </w:r>
      <w:r>
        <w:rPr>
          <w:i/>
          <w:iCs/>
        </w:rPr>
        <w:t xml:space="preserve"> </w:t>
      </w:r>
      <w:r>
        <w:t>Yes - Majority</w:t>
      </w:r>
    </w:p>
    <w:p w14:paraId="1767CF87" w14:textId="77777777" w:rsidR="005415D2" w:rsidRDefault="00083003">
      <w:pPr>
        <w:pStyle w:val="Lijstalinea1"/>
        <w:numPr>
          <w:ilvl w:val="0"/>
          <w:numId w:val="0"/>
        </w:numPr>
      </w:pPr>
      <w:r>
        <w:rPr>
          <w:b/>
          <w:bCs/>
        </w:rPr>
        <w:t xml:space="preserve">Explanation: </w:t>
      </w:r>
      <w:r>
        <w:t>Specified in the Forest Law</w:t>
      </w:r>
    </w:p>
    <w:p w14:paraId="04911B74" w14:textId="77777777" w:rsidR="005415D2" w:rsidRDefault="005415D2">
      <w:pPr>
        <w:pStyle w:val="Lijstalinea1"/>
        <w:numPr>
          <w:ilvl w:val="0"/>
          <w:numId w:val="0"/>
        </w:numPr>
        <w:rPr>
          <w:b/>
          <w:bCs/>
        </w:rPr>
      </w:pPr>
    </w:p>
    <w:p w14:paraId="4DD6E777" w14:textId="77777777" w:rsidR="005415D2" w:rsidRDefault="00083003">
      <w:pPr>
        <w:pStyle w:val="Lijstalinea1"/>
        <w:numPr>
          <w:ilvl w:val="0"/>
          <w:numId w:val="0"/>
        </w:numPr>
        <w:rPr>
          <w:b/>
          <w:bCs/>
        </w:rPr>
      </w:pPr>
      <w:r>
        <w:rPr>
          <w:b/>
          <w:bCs/>
        </w:rPr>
        <w:t>Was the feedstock used in the biomass removed from a forest as part of a pest/disease control measure or a salvage operation?</w:t>
      </w:r>
      <w:r>
        <w:t xml:space="preserve"> No</w:t>
      </w:r>
    </w:p>
    <w:p w14:paraId="487A8E28" w14:textId="77777777" w:rsidR="005415D2" w:rsidRDefault="00083003">
      <w:pPr>
        <w:pStyle w:val="Lijstalinea1"/>
        <w:numPr>
          <w:ilvl w:val="0"/>
          <w:numId w:val="0"/>
        </w:numPr>
        <w:rPr>
          <w:b/>
          <w:bCs/>
        </w:rPr>
      </w:pPr>
      <w:r>
        <w:rPr>
          <w:b/>
          <w:bCs/>
        </w:rPr>
        <w:t xml:space="preserve">Explanation: </w:t>
      </w:r>
      <w:r>
        <w:t>N/A</w:t>
      </w:r>
    </w:p>
    <w:p w14:paraId="20AC6AC7" w14:textId="77777777" w:rsidR="005415D2" w:rsidRDefault="00083003" w:rsidP="000C27C4">
      <w:pPr>
        <w:pStyle w:val="Kop51"/>
      </w:pPr>
      <w:r>
        <w:t>Feedstock</w:t>
      </w:r>
    </w:p>
    <w:p w14:paraId="11890A65" w14:textId="77777777" w:rsidR="005415D2" w:rsidRDefault="00083003">
      <w:pPr>
        <w:pStyle w:val="Standaard1"/>
        <w:rPr>
          <w:b/>
          <w:bCs/>
        </w:rPr>
      </w:pPr>
      <w:r>
        <w:rPr>
          <w:b/>
          <w:bCs/>
        </w:rPr>
        <w:t xml:space="preserve">Reporting period from: </w:t>
      </w:r>
      <w:r>
        <w:t>01 Jan 2021</w:t>
      </w:r>
    </w:p>
    <w:p w14:paraId="51607DB6" w14:textId="77777777" w:rsidR="005415D2" w:rsidRDefault="00083003">
      <w:pPr>
        <w:pStyle w:val="Standaard1"/>
        <w:rPr>
          <w:b/>
          <w:bCs/>
        </w:rPr>
      </w:pPr>
      <w:r>
        <w:rPr>
          <w:b/>
          <w:bCs/>
        </w:rPr>
        <w:t xml:space="preserve">Reporting period to: </w:t>
      </w:r>
      <w:r>
        <w:t>31 Dec 2021</w:t>
      </w:r>
      <w:r>
        <w:rPr>
          <w:i/>
          <w:iCs/>
          <w:highlight w:val="yellow"/>
        </w:rPr>
        <w:t xml:space="preserve"> </w:t>
      </w:r>
      <w:r>
        <w:t xml:space="preserve"> </w:t>
      </w:r>
    </w:p>
    <w:p w14:paraId="7DC391B8" w14:textId="77777777" w:rsidR="005415D2" w:rsidRDefault="00083003">
      <w:pPr>
        <w:pStyle w:val="Lijstalinea1"/>
        <w:numPr>
          <w:ilvl w:val="0"/>
          <w:numId w:val="12"/>
        </w:numPr>
      </w:pPr>
      <w:r>
        <w:rPr>
          <w:b/>
          <w:bCs/>
        </w:rPr>
        <w:t>Total volume of Feedstock</w:t>
      </w:r>
      <w:r>
        <w:rPr>
          <w:color w:val="808080" w:themeColor="background1" w:themeShade="80"/>
        </w:rPr>
        <w:t xml:space="preserve">: </w:t>
      </w:r>
      <w:r>
        <w:t>200,000-400,000 tonnes</w:t>
      </w:r>
    </w:p>
    <w:p w14:paraId="52BA418B" w14:textId="77777777" w:rsidR="005415D2" w:rsidRDefault="00083003">
      <w:pPr>
        <w:pStyle w:val="Lijstalinea1"/>
        <w:numPr>
          <w:ilvl w:val="0"/>
          <w:numId w:val="12"/>
        </w:numPr>
      </w:pPr>
      <w:r>
        <w:rPr>
          <w:b/>
          <w:bCs/>
        </w:rPr>
        <w:t>Volume of primary feedstoc</w:t>
      </w:r>
      <w:r>
        <w:t>k: 1-200,000 tonnes</w:t>
      </w:r>
      <w:r>
        <w:rPr>
          <w:vertAlign w:val="subscript"/>
        </w:rPr>
        <w:t xml:space="preserve"> </w:t>
      </w:r>
    </w:p>
    <w:p w14:paraId="4E715B85" w14:textId="77777777" w:rsidR="005415D2" w:rsidRDefault="00083003">
      <w:pPr>
        <w:pStyle w:val="Lijstalinea1"/>
        <w:numPr>
          <w:ilvl w:val="0"/>
          <w:numId w:val="12"/>
        </w:numPr>
      </w:pPr>
      <w:r>
        <w:rPr>
          <w:b/>
          <w:bCs/>
        </w:rPr>
        <w:t>List percentage of primary feedstock, by the following categories.</w:t>
      </w:r>
      <w:r>
        <w:t xml:space="preserve"> </w:t>
      </w:r>
    </w:p>
    <w:p w14:paraId="6DD0D7FA" w14:textId="77777777" w:rsidR="005415D2" w:rsidRDefault="00083003">
      <w:pPr>
        <w:pStyle w:val="Lijstalinea1"/>
        <w:numPr>
          <w:ilvl w:val="1"/>
          <w:numId w:val="12"/>
        </w:numPr>
      </w:pPr>
      <w:r>
        <w:t>Certified to an SBP-approved Forest Management Scheme: 60% - 79%</w:t>
      </w:r>
    </w:p>
    <w:p w14:paraId="7FFA89C7" w14:textId="77777777" w:rsidR="005415D2" w:rsidRDefault="00083003">
      <w:pPr>
        <w:pStyle w:val="Lijstalinea1"/>
        <w:numPr>
          <w:ilvl w:val="1"/>
          <w:numId w:val="12"/>
        </w:numPr>
      </w:pPr>
      <w:r>
        <w:t>Not certified to an SBP-approved Forest Management Scheme: 20% - 39%</w:t>
      </w:r>
    </w:p>
    <w:p w14:paraId="58DC1F19" w14:textId="58437861" w:rsidR="005415D2" w:rsidRPr="006C3DE1" w:rsidRDefault="00083003" w:rsidP="006C3DE1">
      <w:pPr>
        <w:pStyle w:val="Lijstalinea1"/>
        <w:numPr>
          <w:ilvl w:val="0"/>
          <w:numId w:val="12"/>
        </w:numPr>
        <w:spacing w:after="0" w:line="240" w:lineRule="auto"/>
        <w:rPr>
          <w:rFonts w:cs="Arial"/>
          <w:lang w:val="en-US" w:eastAsia="nl-NL"/>
        </w:rPr>
      </w:pPr>
      <w:r w:rsidRPr="006C3DE1">
        <w:rPr>
          <w:b/>
          <w:bCs/>
        </w:rPr>
        <w:t>List of all the species in primary feedstock, including scientific name:</w:t>
      </w:r>
      <w:r w:rsidR="006C3DE1">
        <w:t xml:space="preserve"> </w:t>
      </w:r>
      <w:r w:rsidRPr="006C3DE1">
        <w:rPr>
          <w:rFonts w:cs="Arial"/>
          <w:lang w:val="en-US" w:eastAsia="nl-NL"/>
        </w:rPr>
        <w:t xml:space="preserve"> </w:t>
      </w:r>
      <w:r w:rsidRPr="006C3DE1">
        <w:rPr>
          <w:rFonts w:cs="Arial"/>
          <w:lang w:val="en-IN"/>
        </w:rPr>
        <w:t>Pinus sylvestris</w:t>
      </w:r>
      <w:r w:rsidR="00931148" w:rsidRPr="006C3DE1">
        <w:rPr>
          <w:rFonts w:cs="Arial"/>
          <w:lang w:val="en-IN"/>
        </w:rPr>
        <w:t xml:space="preserve"> </w:t>
      </w:r>
      <w:r w:rsidRPr="006C3DE1">
        <w:rPr>
          <w:rFonts w:cs="Arial"/>
          <w:lang w:val="en-IN"/>
        </w:rPr>
        <w:t>(Pine</w:t>
      </w:r>
      <w:proofErr w:type="gramStart"/>
      <w:r w:rsidRPr="006C3DE1">
        <w:rPr>
          <w:rFonts w:cs="Arial"/>
          <w:lang w:val="en-IN"/>
        </w:rPr>
        <w:t>)</w:t>
      </w:r>
      <w:r w:rsidR="00931148" w:rsidRPr="006C3DE1">
        <w:rPr>
          <w:rFonts w:cs="Arial"/>
          <w:lang w:val="en-IN"/>
        </w:rPr>
        <w:t xml:space="preserve">; </w:t>
      </w:r>
      <w:r w:rsidRPr="006C3DE1">
        <w:rPr>
          <w:rFonts w:cs="Arial"/>
          <w:lang w:val="en-US" w:eastAsia="nl-NL"/>
        </w:rPr>
        <w:t xml:space="preserve"> </w:t>
      </w:r>
      <w:proofErr w:type="spellStart"/>
      <w:r w:rsidRPr="006C3DE1">
        <w:rPr>
          <w:rFonts w:cs="Arial"/>
          <w:lang w:val="en-IN"/>
        </w:rPr>
        <w:t>Picea</w:t>
      </w:r>
      <w:proofErr w:type="spellEnd"/>
      <w:proofErr w:type="gramEnd"/>
      <w:r w:rsidRPr="006C3DE1">
        <w:rPr>
          <w:rFonts w:cs="Arial"/>
          <w:lang w:val="en-IN"/>
        </w:rPr>
        <w:t xml:space="preserve"> </w:t>
      </w:r>
      <w:proofErr w:type="spellStart"/>
      <w:r w:rsidRPr="006C3DE1">
        <w:rPr>
          <w:rFonts w:cs="Arial"/>
          <w:lang w:val="en-IN"/>
        </w:rPr>
        <w:t>abies</w:t>
      </w:r>
      <w:proofErr w:type="spellEnd"/>
      <w:r w:rsidR="00931148" w:rsidRPr="006C3DE1">
        <w:rPr>
          <w:rFonts w:cs="Arial"/>
          <w:lang w:val="en-IN"/>
        </w:rPr>
        <w:t xml:space="preserve"> </w:t>
      </w:r>
      <w:r w:rsidRPr="006C3DE1">
        <w:rPr>
          <w:rFonts w:cs="Arial"/>
          <w:lang w:val="en-IN"/>
        </w:rPr>
        <w:t>(Spruce)</w:t>
      </w:r>
      <w:r w:rsidR="00931148" w:rsidRPr="006C3DE1">
        <w:rPr>
          <w:rFonts w:cs="Arial"/>
          <w:lang w:val="en-IN"/>
        </w:rPr>
        <w:t xml:space="preserve">; </w:t>
      </w:r>
      <w:r w:rsidRPr="006C3DE1">
        <w:rPr>
          <w:rFonts w:cs="Arial"/>
          <w:lang w:val="en-US" w:eastAsia="nl-NL"/>
        </w:rPr>
        <w:t xml:space="preserve"> </w:t>
      </w:r>
      <w:r w:rsidRPr="006C3DE1">
        <w:rPr>
          <w:rFonts w:cs="Arial"/>
          <w:lang w:val="en-IN"/>
        </w:rPr>
        <w:t>Betula pendula</w:t>
      </w:r>
      <w:r w:rsidR="00931148" w:rsidRPr="006C3DE1">
        <w:rPr>
          <w:rFonts w:cs="Arial"/>
          <w:lang w:val="en-IN"/>
        </w:rPr>
        <w:t xml:space="preserve"> </w:t>
      </w:r>
      <w:r w:rsidRPr="006C3DE1">
        <w:rPr>
          <w:rFonts w:cs="Arial"/>
          <w:lang w:val="en-IN"/>
        </w:rPr>
        <w:t>(Birch)</w:t>
      </w:r>
      <w:r w:rsidR="00931148" w:rsidRPr="006C3DE1">
        <w:rPr>
          <w:rFonts w:cs="Arial"/>
          <w:lang w:val="en-IN"/>
        </w:rPr>
        <w:t xml:space="preserve">; </w:t>
      </w:r>
      <w:r w:rsidRPr="006C3DE1">
        <w:rPr>
          <w:rFonts w:cs="Arial"/>
          <w:lang w:val="en-US" w:eastAsia="nl-NL"/>
        </w:rPr>
        <w:t xml:space="preserve"> </w:t>
      </w:r>
      <w:r w:rsidRPr="006C3DE1">
        <w:rPr>
          <w:rFonts w:cs="Arial"/>
          <w:lang w:val="en-IN"/>
        </w:rPr>
        <w:t xml:space="preserve">Alnus </w:t>
      </w:r>
      <w:proofErr w:type="spellStart"/>
      <w:r w:rsidRPr="006C3DE1">
        <w:rPr>
          <w:rFonts w:cs="Arial"/>
          <w:lang w:val="en-IN"/>
        </w:rPr>
        <w:t>glutinosa</w:t>
      </w:r>
      <w:proofErr w:type="spellEnd"/>
      <w:r w:rsidR="00931148" w:rsidRPr="006C3DE1">
        <w:rPr>
          <w:rFonts w:cs="Arial"/>
          <w:lang w:val="en-IN"/>
        </w:rPr>
        <w:t xml:space="preserve"> </w:t>
      </w:r>
      <w:r w:rsidRPr="006C3DE1">
        <w:rPr>
          <w:rFonts w:cs="Arial"/>
          <w:lang w:val="en-IN"/>
        </w:rPr>
        <w:t>(Black alder)</w:t>
      </w:r>
      <w:r w:rsidR="00931148" w:rsidRPr="006C3DE1">
        <w:rPr>
          <w:rFonts w:cs="Arial"/>
          <w:lang w:val="en-IN"/>
        </w:rPr>
        <w:t xml:space="preserve">; </w:t>
      </w:r>
      <w:r w:rsidRPr="006C3DE1">
        <w:rPr>
          <w:rFonts w:cs="Arial"/>
          <w:lang w:val="en-US" w:eastAsia="nl-NL"/>
        </w:rPr>
        <w:t xml:space="preserve"> </w:t>
      </w:r>
      <w:r w:rsidRPr="006C3DE1">
        <w:rPr>
          <w:rFonts w:cs="Arial"/>
          <w:lang w:val="en-IN"/>
        </w:rPr>
        <w:t xml:space="preserve">Alnus </w:t>
      </w:r>
      <w:proofErr w:type="spellStart"/>
      <w:r w:rsidRPr="006C3DE1">
        <w:rPr>
          <w:rFonts w:cs="Arial"/>
          <w:lang w:val="en-IN"/>
        </w:rPr>
        <w:t>incana</w:t>
      </w:r>
      <w:proofErr w:type="spellEnd"/>
      <w:r w:rsidR="00931148" w:rsidRPr="006C3DE1">
        <w:rPr>
          <w:rFonts w:cs="Arial"/>
          <w:lang w:val="en-IN"/>
        </w:rPr>
        <w:t xml:space="preserve"> </w:t>
      </w:r>
      <w:r w:rsidRPr="006C3DE1">
        <w:rPr>
          <w:rFonts w:cs="Arial"/>
          <w:lang w:val="en-IN"/>
        </w:rPr>
        <w:t>(White alder)</w:t>
      </w:r>
      <w:r w:rsidR="00931148" w:rsidRPr="006C3DE1">
        <w:rPr>
          <w:rFonts w:cs="Arial"/>
          <w:lang w:val="en-IN"/>
        </w:rPr>
        <w:t xml:space="preserve">; </w:t>
      </w:r>
      <w:r w:rsidRPr="006C3DE1">
        <w:rPr>
          <w:rFonts w:cs="Arial"/>
          <w:lang w:val="en-US" w:eastAsia="nl-NL"/>
        </w:rPr>
        <w:t xml:space="preserve"> </w:t>
      </w:r>
      <w:r w:rsidRPr="006C3DE1">
        <w:rPr>
          <w:rFonts w:cs="Arial"/>
          <w:lang w:val="en-IN"/>
        </w:rPr>
        <w:t xml:space="preserve">Populus </w:t>
      </w:r>
      <w:proofErr w:type="spellStart"/>
      <w:r w:rsidRPr="006C3DE1">
        <w:rPr>
          <w:rFonts w:cs="Arial"/>
          <w:lang w:val="en-IN"/>
        </w:rPr>
        <w:t>tremula</w:t>
      </w:r>
      <w:proofErr w:type="spellEnd"/>
      <w:r w:rsidR="00931148" w:rsidRPr="006C3DE1">
        <w:rPr>
          <w:rFonts w:cs="Arial"/>
          <w:lang w:val="en-IN"/>
        </w:rPr>
        <w:t xml:space="preserve"> </w:t>
      </w:r>
      <w:r w:rsidRPr="006C3DE1">
        <w:rPr>
          <w:rFonts w:cs="Arial"/>
          <w:lang w:val="en-IN"/>
        </w:rPr>
        <w:t>(Aspen)</w:t>
      </w:r>
      <w:r w:rsidR="00931148" w:rsidRPr="006C3DE1">
        <w:rPr>
          <w:rFonts w:cs="Arial"/>
          <w:lang w:val="en-IN"/>
        </w:rPr>
        <w:t xml:space="preserve">; </w:t>
      </w:r>
      <w:r w:rsidRPr="006C3DE1">
        <w:rPr>
          <w:rFonts w:cs="Arial"/>
          <w:lang w:val="en-US" w:eastAsia="nl-NL"/>
        </w:rPr>
        <w:t xml:space="preserve"> </w:t>
      </w:r>
      <w:r w:rsidRPr="006C3DE1">
        <w:rPr>
          <w:rFonts w:cs="Arial"/>
          <w:lang w:val="en-IN"/>
        </w:rPr>
        <w:t>Fraxinus excelsior</w:t>
      </w:r>
      <w:r w:rsidR="00931148" w:rsidRPr="006C3DE1">
        <w:rPr>
          <w:rFonts w:cs="Arial"/>
          <w:lang w:val="en-IN"/>
        </w:rPr>
        <w:t xml:space="preserve"> </w:t>
      </w:r>
      <w:r w:rsidRPr="006C3DE1">
        <w:rPr>
          <w:rFonts w:cs="Arial"/>
          <w:lang w:val="en-IN"/>
        </w:rPr>
        <w:t>(Ash)</w:t>
      </w:r>
      <w:r w:rsidR="00931148" w:rsidRPr="006C3DE1">
        <w:rPr>
          <w:rFonts w:cs="Arial"/>
          <w:lang w:val="en-IN"/>
        </w:rPr>
        <w:t xml:space="preserve">; </w:t>
      </w:r>
      <w:r w:rsidRPr="006C3DE1">
        <w:rPr>
          <w:rFonts w:cs="Arial"/>
          <w:lang w:val="en-US" w:eastAsia="nl-NL"/>
        </w:rPr>
        <w:t xml:space="preserve"> </w:t>
      </w:r>
      <w:r w:rsidRPr="006C3DE1">
        <w:rPr>
          <w:rFonts w:cs="Arial"/>
          <w:lang w:val="en-IN"/>
        </w:rPr>
        <w:t xml:space="preserve">Quercus </w:t>
      </w:r>
      <w:proofErr w:type="spellStart"/>
      <w:r w:rsidRPr="006C3DE1">
        <w:rPr>
          <w:rFonts w:cs="Arial"/>
          <w:lang w:val="en-IN"/>
        </w:rPr>
        <w:t>robur</w:t>
      </w:r>
      <w:proofErr w:type="spellEnd"/>
      <w:r w:rsidR="00931148" w:rsidRPr="006C3DE1">
        <w:rPr>
          <w:rFonts w:cs="Arial"/>
          <w:lang w:val="en-IN"/>
        </w:rPr>
        <w:t xml:space="preserve"> </w:t>
      </w:r>
      <w:r w:rsidRPr="006C3DE1">
        <w:rPr>
          <w:rFonts w:cs="Arial"/>
          <w:lang w:val="en-IN"/>
        </w:rPr>
        <w:t>(Oak)</w:t>
      </w:r>
      <w:r w:rsidR="00931148" w:rsidRPr="006C3DE1">
        <w:rPr>
          <w:rFonts w:cs="Arial"/>
          <w:lang w:val="en-IN"/>
        </w:rPr>
        <w:t xml:space="preserve">; </w:t>
      </w:r>
      <w:r w:rsidRPr="006C3DE1">
        <w:rPr>
          <w:rFonts w:cs="Arial"/>
          <w:lang w:val="en-US" w:eastAsia="nl-NL"/>
        </w:rPr>
        <w:t xml:space="preserve"> </w:t>
      </w:r>
    </w:p>
    <w:p w14:paraId="0FA1F46D" w14:textId="77777777" w:rsidR="005415D2" w:rsidRPr="000C27C4" w:rsidRDefault="00083003">
      <w:pPr>
        <w:pStyle w:val="Lijstalinea1"/>
        <w:numPr>
          <w:ilvl w:val="0"/>
          <w:numId w:val="12"/>
        </w:numPr>
        <w:rPr>
          <w:rFonts w:cs="Arial"/>
          <w:b/>
          <w:bCs/>
        </w:rPr>
      </w:pPr>
      <w:r w:rsidRPr="000C27C4">
        <w:rPr>
          <w:rFonts w:cs="Arial"/>
          <w:b/>
          <w:bCs/>
        </w:rPr>
        <w:t xml:space="preserve">Is any of the feedstock used likely to have come from protected or threatened species?  </w:t>
      </w:r>
      <w:r w:rsidRPr="000C27C4">
        <w:rPr>
          <w:rFonts w:cs="Arial"/>
        </w:rPr>
        <w:t>No</w:t>
      </w:r>
    </w:p>
    <w:p w14:paraId="532AB41E" w14:textId="77777777" w:rsidR="005415D2" w:rsidRPr="000C27C4" w:rsidRDefault="00083003">
      <w:pPr>
        <w:pStyle w:val="Lijstalinea1"/>
        <w:numPr>
          <w:ilvl w:val="1"/>
          <w:numId w:val="12"/>
        </w:numPr>
        <w:rPr>
          <w:rFonts w:cs="Arial"/>
        </w:rPr>
      </w:pPr>
      <w:r w:rsidRPr="000C27C4">
        <w:rPr>
          <w:rFonts w:cs="Arial"/>
        </w:rPr>
        <w:t>Name of species: N/A</w:t>
      </w:r>
    </w:p>
    <w:p w14:paraId="284CB76B" w14:textId="77777777" w:rsidR="005415D2" w:rsidRPr="000C27C4" w:rsidRDefault="00083003">
      <w:pPr>
        <w:pStyle w:val="Lijstalinea1"/>
        <w:numPr>
          <w:ilvl w:val="1"/>
          <w:numId w:val="12"/>
        </w:numPr>
        <w:rPr>
          <w:rFonts w:cs="Arial"/>
        </w:rPr>
      </w:pPr>
      <w:r w:rsidRPr="000C27C4">
        <w:rPr>
          <w:rFonts w:cs="Arial"/>
        </w:rPr>
        <w:t>Biomass proportion, by weight, that is likely to be composed of that species (%): N/A</w:t>
      </w:r>
    </w:p>
    <w:p w14:paraId="22255984" w14:textId="77777777" w:rsidR="005415D2" w:rsidRPr="000C27C4" w:rsidRDefault="00083003">
      <w:pPr>
        <w:pStyle w:val="Lijstalinea1"/>
        <w:numPr>
          <w:ilvl w:val="0"/>
          <w:numId w:val="12"/>
        </w:numPr>
        <w:rPr>
          <w:rFonts w:cs="Arial"/>
          <w:b/>
          <w:bCs/>
        </w:rPr>
      </w:pPr>
      <w:r w:rsidRPr="000C27C4">
        <w:rPr>
          <w:rFonts w:cs="Arial"/>
          <w:b/>
          <w:bCs/>
        </w:rPr>
        <w:t>Hardwood (</w:t>
      </w:r>
      <w:proofErr w:type="gramStart"/>
      <w:r w:rsidRPr="000C27C4">
        <w:rPr>
          <w:rFonts w:cs="Arial"/>
          <w:b/>
          <w:bCs/>
        </w:rPr>
        <w:t>i.e.</w:t>
      </w:r>
      <w:proofErr w:type="gramEnd"/>
      <w:r w:rsidRPr="000C27C4">
        <w:rPr>
          <w:rFonts w:cs="Arial"/>
          <w:b/>
          <w:bCs/>
        </w:rPr>
        <w:t xml:space="preserve"> broadleaf trees): specify proportion of biomass from (%):</w:t>
      </w:r>
      <w:r w:rsidRPr="000C27C4">
        <w:rPr>
          <w:rFonts w:cs="Arial"/>
        </w:rPr>
        <w:t xml:space="preserve"> 88,00</w:t>
      </w:r>
    </w:p>
    <w:p w14:paraId="0DE7E809" w14:textId="77777777" w:rsidR="005415D2" w:rsidRPr="000C27C4" w:rsidRDefault="00083003">
      <w:pPr>
        <w:pStyle w:val="Lijstalinea1"/>
        <w:numPr>
          <w:ilvl w:val="0"/>
          <w:numId w:val="12"/>
        </w:numPr>
        <w:rPr>
          <w:rFonts w:cs="Arial"/>
          <w:b/>
          <w:bCs/>
        </w:rPr>
      </w:pPr>
      <w:r w:rsidRPr="000C27C4">
        <w:rPr>
          <w:rFonts w:cs="Arial"/>
          <w:b/>
          <w:bCs/>
        </w:rPr>
        <w:t>Softwood (</w:t>
      </w:r>
      <w:proofErr w:type="gramStart"/>
      <w:r w:rsidRPr="000C27C4">
        <w:rPr>
          <w:rFonts w:cs="Arial"/>
          <w:b/>
          <w:bCs/>
        </w:rPr>
        <w:t>i.e.</w:t>
      </w:r>
      <w:proofErr w:type="gramEnd"/>
      <w:r w:rsidRPr="000C27C4">
        <w:rPr>
          <w:rFonts w:cs="Arial"/>
          <w:b/>
          <w:bCs/>
        </w:rPr>
        <w:t xml:space="preserve"> coniferous trees): specify proportion of biomass from (%):</w:t>
      </w:r>
      <w:r w:rsidRPr="000C27C4">
        <w:rPr>
          <w:rFonts w:cs="Arial"/>
        </w:rPr>
        <w:t xml:space="preserve"> 12,00</w:t>
      </w:r>
    </w:p>
    <w:p w14:paraId="14BD54E6" w14:textId="77777777" w:rsidR="005415D2" w:rsidRPr="000C27C4" w:rsidRDefault="00083003">
      <w:pPr>
        <w:pStyle w:val="Lijstalinea1"/>
        <w:numPr>
          <w:ilvl w:val="0"/>
          <w:numId w:val="12"/>
        </w:numPr>
        <w:rPr>
          <w:rFonts w:cs="Arial"/>
          <w:b/>
          <w:bCs/>
        </w:rPr>
      </w:pPr>
      <w:r w:rsidRPr="000C27C4">
        <w:rPr>
          <w:rFonts w:cs="Arial"/>
          <w:b/>
          <w:bCs/>
        </w:rPr>
        <w:t>Proportion of biomass composed of or derived from saw logs (%):</w:t>
      </w:r>
      <w:r w:rsidRPr="000C27C4">
        <w:rPr>
          <w:rFonts w:cs="Arial"/>
        </w:rPr>
        <w:t xml:space="preserve"> 0,00</w:t>
      </w:r>
    </w:p>
    <w:p w14:paraId="3E6EB4CD" w14:textId="77777777" w:rsidR="005415D2" w:rsidRPr="000C27C4" w:rsidRDefault="00083003">
      <w:pPr>
        <w:pStyle w:val="Lijstalinea1"/>
        <w:numPr>
          <w:ilvl w:val="0"/>
          <w:numId w:val="12"/>
        </w:numPr>
        <w:rPr>
          <w:rFonts w:cs="Arial"/>
          <w:b/>
          <w:bCs/>
        </w:rPr>
      </w:pPr>
      <w:r w:rsidRPr="000C27C4">
        <w:rPr>
          <w:rFonts w:cs="Arial"/>
          <w:b/>
          <w:bCs/>
        </w:rPr>
        <w:t xml:space="preserve">Specify the local regulations or industry standards that define saw logs: </w:t>
      </w:r>
      <w:r w:rsidRPr="000C27C4">
        <w:rPr>
          <w:rFonts w:cs="Arial"/>
        </w:rPr>
        <w:t>NA</w:t>
      </w:r>
    </w:p>
    <w:p w14:paraId="381AED9F" w14:textId="77777777" w:rsidR="005415D2" w:rsidRPr="000C27C4" w:rsidRDefault="00083003">
      <w:pPr>
        <w:pStyle w:val="Lijstalinea1"/>
        <w:numPr>
          <w:ilvl w:val="0"/>
          <w:numId w:val="12"/>
        </w:numPr>
        <w:rPr>
          <w:rFonts w:cs="Arial"/>
          <w:b/>
          <w:bCs/>
        </w:rPr>
      </w:pPr>
      <w:r w:rsidRPr="000C27C4">
        <w:rPr>
          <w:rFonts w:cs="Arial"/>
          <w:b/>
          <w:bCs/>
        </w:rPr>
        <w:t xml:space="preserve">Roundwood from final </w:t>
      </w:r>
      <w:proofErr w:type="spellStart"/>
      <w:r w:rsidRPr="000C27C4">
        <w:rPr>
          <w:rFonts w:cs="Arial"/>
          <w:b/>
          <w:bCs/>
        </w:rPr>
        <w:t>fellings</w:t>
      </w:r>
      <w:proofErr w:type="spellEnd"/>
      <w:r w:rsidRPr="000C27C4">
        <w:rPr>
          <w:rFonts w:cs="Arial"/>
          <w:b/>
          <w:bCs/>
        </w:rPr>
        <w:t xml:space="preserve"> from forests with &gt; 40 </w:t>
      </w:r>
      <w:proofErr w:type="spellStart"/>
      <w:r w:rsidRPr="000C27C4">
        <w:rPr>
          <w:rFonts w:cs="Arial"/>
          <w:b/>
          <w:bCs/>
        </w:rPr>
        <w:t>yr</w:t>
      </w:r>
      <w:proofErr w:type="spellEnd"/>
      <w:r w:rsidRPr="000C27C4">
        <w:rPr>
          <w:rFonts w:cs="Arial"/>
          <w:b/>
          <w:bCs/>
        </w:rPr>
        <w:t xml:space="preserve"> rotation times - Average % volume of </w:t>
      </w:r>
      <w:proofErr w:type="spellStart"/>
      <w:r w:rsidRPr="000C27C4">
        <w:rPr>
          <w:rFonts w:cs="Arial"/>
          <w:b/>
          <w:bCs/>
        </w:rPr>
        <w:t>fellings</w:t>
      </w:r>
      <w:proofErr w:type="spellEnd"/>
      <w:r w:rsidRPr="000C27C4">
        <w:rPr>
          <w:rFonts w:cs="Arial"/>
          <w:b/>
          <w:bCs/>
        </w:rPr>
        <w:t xml:space="preserve"> delivered to BP (%): </w:t>
      </w:r>
      <w:r w:rsidRPr="000C27C4">
        <w:rPr>
          <w:rFonts w:cs="Arial"/>
        </w:rPr>
        <w:t>70,00</w:t>
      </w:r>
    </w:p>
    <w:p w14:paraId="7C1ABBBC" w14:textId="77777777" w:rsidR="005415D2" w:rsidRPr="000C27C4" w:rsidRDefault="00083003">
      <w:pPr>
        <w:pStyle w:val="Lijstalinea1"/>
        <w:numPr>
          <w:ilvl w:val="0"/>
          <w:numId w:val="12"/>
        </w:numPr>
        <w:rPr>
          <w:rFonts w:cs="Arial"/>
        </w:rPr>
      </w:pPr>
      <w:r w:rsidRPr="000C27C4">
        <w:rPr>
          <w:rFonts w:cs="Arial"/>
          <w:b/>
          <w:bCs/>
        </w:rPr>
        <w:t>Volume of primary feedstock from primary forest:</w:t>
      </w:r>
      <w:r w:rsidRPr="000C27C4">
        <w:rPr>
          <w:rFonts w:cs="Arial"/>
        </w:rPr>
        <w:t xml:space="preserve"> 0 N/A</w:t>
      </w:r>
    </w:p>
    <w:p w14:paraId="28A1065F" w14:textId="77777777" w:rsidR="005415D2" w:rsidRPr="000C27C4" w:rsidRDefault="00083003">
      <w:pPr>
        <w:pStyle w:val="Lijstalinea1"/>
        <w:numPr>
          <w:ilvl w:val="0"/>
          <w:numId w:val="12"/>
        </w:numPr>
        <w:rPr>
          <w:rFonts w:cs="Arial"/>
        </w:rPr>
      </w:pPr>
      <w:r w:rsidRPr="000C27C4">
        <w:rPr>
          <w:rFonts w:cs="Arial"/>
          <w:b/>
          <w:bCs/>
        </w:rPr>
        <w:t>List percentage of primary feedstock from primary forest, by the following categories. Subdivide by SBP-approved Forest Management Schemes</w:t>
      </w:r>
      <w:r w:rsidRPr="000C27C4">
        <w:rPr>
          <w:rFonts w:cs="Arial"/>
        </w:rPr>
        <w:t>:</w:t>
      </w:r>
    </w:p>
    <w:p w14:paraId="447E33B7" w14:textId="77777777" w:rsidR="005415D2" w:rsidRPr="000C27C4" w:rsidRDefault="00083003">
      <w:pPr>
        <w:pStyle w:val="Lijstalinea1"/>
        <w:numPr>
          <w:ilvl w:val="1"/>
          <w:numId w:val="12"/>
        </w:numPr>
        <w:rPr>
          <w:rFonts w:cs="Arial"/>
        </w:rPr>
      </w:pPr>
      <w:r w:rsidRPr="000C27C4">
        <w:rPr>
          <w:rFonts w:cs="Arial"/>
        </w:rPr>
        <w:t xml:space="preserve">Primary feedstock from primary forest certified to an SBP-approved Forest Management Scheme: N/A </w:t>
      </w:r>
    </w:p>
    <w:p w14:paraId="3892DF14" w14:textId="77777777" w:rsidR="005415D2" w:rsidRPr="000C27C4" w:rsidRDefault="00083003">
      <w:pPr>
        <w:pStyle w:val="Lijstalinea1"/>
        <w:numPr>
          <w:ilvl w:val="1"/>
          <w:numId w:val="12"/>
        </w:numPr>
        <w:rPr>
          <w:rFonts w:cs="Arial"/>
        </w:rPr>
      </w:pPr>
      <w:r w:rsidRPr="000C27C4">
        <w:rPr>
          <w:rFonts w:cs="Arial"/>
        </w:rPr>
        <w:t>Primary feedstock from primary forest not certified to an SBP-approved Forest Management Scheme: N/A</w:t>
      </w:r>
    </w:p>
    <w:p w14:paraId="7584D5CF" w14:textId="77777777" w:rsidR="005415D2" w:rsidRPr="000C27C4" w:rsidRDefault="00083003">
      <w:pPr>
        <w:pStyle w:val="Lijstalinea1"/>
        <w:numPr>
          <w:ilvl w:val="0"/>
          <w:numId w:val="12"/>
        </w:numPr>
        <w:rPr>
          <w:rFonts w:cs="Arial"/>
        </w:rPr>
      </w:pPr>
      <w:r w:rsidRPr="000C27C4">
        <w:rPr>
          <w:rFonts w:cs="Arial"/>
          <w:b/>
          <w:bCs/>
        </w:rPr>
        <w:t>Volume of secondary feedstock</w:t>
      </w:r>
      <w:r w:rsidRPr="000C27C4">
        <w:rPr>
          <w:rFonts w:cs="Arial"/>
        </w:rPr>
        <w:t xml:space="preserve">: 1-200,000 tonnes </w:t>
      </w:r>
    </w:p>
    <w:p w14:paraId="040B5459" w14:textId="77777777" w:rsidR="005415D2" w:rsidRPr="000C27C4" w:rsidRDefault="00083003">
      <w:pPr>
        <w:pStyle w:val="Lijstalinea1"/>
        <w:numPr>
          <w:ilvl w:val="1"/>
          <w:numId w:val="12"/>
        </w:numPr>
        <w:rPr>
          <w:rFonts w:cs="Arial"/>
        </w:rPr>
      </w:pPr>
      <w:r w:rsidRPr="000C27C4">
        <w:rPr>
          <w:rFonts w:cs="Arial"/>
        </w:rPr>
        <w:t>Physical form of the feedstock: Chips</w:t>
      </w:r>
    </w:p>
    <w:p w14:paraId="41AF8E68" w14:textId="77777777" w:rsidR="005415D2" w:rsidRPr="000C27C4" w:rsidRDefault="00083003">
      <w:pPr>
        <w:pStyle w:val="Lijstalinea1"/>
        <w:numPr>
          <w:ilvl w:val="0"/>
          <w:numId w:val="12"/>
        </w:numPr>
        <w:rPr>
          <w:rFonts w:cs="Arial"/>
        </w:rPr>
      </w:pPr>
      <w:r w:rsidRPr="000C27C4">
        <w:rPr>
          <w:rFonts w:cs="Arial"/>
          <w:b/>
          <w:bCs/>
        </w:rPr>
        <w:t>Volume of tertiary feedstock</w:t>
      </w:r>
      <w:r w:rsidRPr="000C27C4">
        <w:rPr>
          <w:rFonts w:cs="Arial"/>
        </w:rPr>
        <w:t xml:space="preserve">: 0 N/A </w:t>
      </w:r>
    </w:p>
    <w:p w14:paraId="06F70ED7" w14:textId="77777777" w:rsidR="005415D2" w:rsidRPr="000C27C4" w:rsidRDefault="00083003">
      <w:pPr>
        <w:pStyle w:val="Lijstalinea1"/>
        <w:numPr>
          <w:ilvl w:val="1"/>
          <w:numId w:val="12"/>
        </w:numPr>
        <w:rPr>
          <w:rFonts w:cs="Arial"/>
        </w:rPr>
      </w:pPr>
      <w:r w:rsidRPr="000C27C4">
        <w:rPr>
          <w:rFonts w:cs="Arial"/>
        </w:rPr>
        <w:t>Physical form of the feedstock: N/A</w:t>
      </w:r>
    </w:p>
    <w:p w14:paraId="4F010687" w14:textId="236EE919" w:rsidR="005415D2" w:rsidRDefault="005415D2"/>
    <w:p w14:paraId="70F135D3" w14:textId="77777777" w:rsidR="000C27C4" w:rsidRDefault="000C27C4"/>
    <w:tbl>
      <w:tblPr>
        <w:tblStyle w:val="TableGrid"/>
        <w:tblW w:w="0" w:type="auto"/>
        <w:tblInd w:w="0" w:type="dxa"/>
        <w:tblLook w:val="04A0" w:firstRow="1" w:lastRow="0" w:firstColumn="1" w:lastColumn="0" w:noHBand="0" w:noVBand="1"/>
      </w:tblPr>
      <w:tblGrid>
        <w:gridCol w:w="1710"/>
        <w:gridCol w:w="2260"/>
        <w:gridCol w:w="1901"/>
        <w:gridCol w:w="1920"/>
        <w:gridCol w:w="1837"/>
      </w:tblGrid>
      <w:tr w:rsidR="005415D2" w14:paraId="4DEA58F8" w14:textId="77777777">
        <w:tc>
          <w:tcPr>
            <w:tcW w:w="9628" w:type="dxa"/>
            <w:gridSpan w:val="5"/>
            <w:tcBorders>
              <w:top w:val="single" w:sz="4" w:space="0" w:color="auto"/>
              <w:left w:val="single" w:sz="4" w:space="0" w:color="auto"/>
              <w:bottom w:val="single" w:sz="4" w:space="0" w:color="auto"/>
              <w:right w:val="single" w:sz="4" w:space="0" w:color="auto"/>
            </w:tcBorders>
            <w:shd w:val="clear" w:color="auto" w:fill="006691"/>
            <w:vAlign w:val="center"/>
            <w:hideMark/>
          </w:tcPr>
          <w:p w14:paraId="75643A43" w14:textId="77777777" w:rsidR="005415D2" w:rsidRDefault="00083003">
            <w:pPr>
              <w:jc w:val="center"/>
              <w:rPr>
                <w:b/>
                <w:color w:val="FFFFFF" w:themeColor="background1"/>
                <w:lang w:val="en-US"/>
              </w:rPr>
            </w:pPr>
            <w:r>
              <w:rPr>
                <w:b/>
                <w:color w:val="FFFFFF" w:themeColor="background1"/>
                <w:lang w:val="en-US"/>
              </w:rPr>
              <w:lastRenderedPageBreak/>
              <w:t>Proportion of feedstock sourced per type of claim during the reporting period</w:t>
            </w:r>
          </w:p>
          <w:p w14:paraId="211C18A6" w14:textId="77777777" w:rsidR="005415D2" w:rsidRDefault="005415D2">
            <w:pPr>
              <w:jc w:val="center"/>
              <w:rPr>
                <w:b/>
                <w:bCs/>
              </w:rPr>
            </w:pPr>
          </w:p>
        </w:tc>
      </w:tr>
      <w:tr w:rsidR="005415D2" w14:paraId="140B3B6E" w14:textId="77777777">
        <w:trPr>
          <w:trHeight w:val="600"/>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63F291" w14:textId="77777777" w:rsidR="005415D2" w:rsidRDefault="00083003">
            <w:pPr>
              <w:jc w:val="center"/>
              <w:rPr>
                <w:b/>
                <w:bCs/>
              </w:rPr>
            </w:pPr>
            <w:r>
              <w:rPr>
                <w:b/>
                <w:bCs/>
              </w:rPr>
              <w:t>Feedstock type</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5D81AA" w14:textId="77777777" w:rsidR="005415D2" w:rsidRDefault="00083003">
            <w:pPr>
              <w:jc w:val="center"/>
              <w:rPr>
                <w:b/>
                <w:bCs/>
              </w:rPr>
            </w:pPr>
            <w:r>
              <w:rPr>
                <w:b/>
                <w:bCs/>
              </w:rPr>
              <w:t>Sourced by using Supply Base Evaluation (SBE) %</w:t>
            </w:r>
          </w:p>
        </w:tc>
        <w:tc>
          <w:tcPr>
            <w:tcW w:w="3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441A33" w14:textId="77777777" w:rsidR="005415D2" w:rsidRDefault="00083003">
            <w:pPr>
              <w:jc w:val="center"/>
              <w:rPr>
                <w:b/>
                <w:bCs/>
              </w:rPr>
            </w:pPr>
            <w:r>
              <w:rPr>
                <w:b/>
                <w:bCs/>
              </w:rPr>
              <w:t>FSC %</w:t>
            </w:r>
          </w:p>
        </w:tc>
        <w:tc>
          <w:tcPr>
            <w:tcW w:w="3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ADB5EC" w14:textId="77777777" w:rsidR="005415D2" w:rsidRDefault="00083003">
            <w:pPr>
              <w:jc w:val="center"/>
              <w:rPr>
                <w:b/>
                <w:bCs/>
              </w:rPr>
            </w:pPr>
            <w:r>
              <w:rPr>
                <w:b/>
                <w:bCs/>
              </w:rPr>
              <w:t>PEFC %</w:t>
            </w:r>
          </w:p>
        </w:tc>
        <w:tc>
          <w:tcPr>
            <w:tcW w:w="3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28FCB3" w14:textId="77777777" w:rsidR="005415D2" w:rsidRDefault="00083003">
            <w:pPr>
              <w:jc w:val="center"/>
              <w:rPr>
                <w:b/>
                <w:bCs/>
              </w:rPr>
            </w:pPr>
            <w:r>
              <w:rPr>
                <w:b/>
                <w:bCs/>
              </w:rPr>
              <w:t>SFI %</w:t>
            </w:r>
          </w:p>
          <w:p w14:paraId="02731578" w14:textId="77777777" w:rsidR="005415D2" w:rsidRDefault="005415D2">
            <w:pPr>
              <w:spacing w:after="0" w:line="240" w:lineRule="auto"/>
            </w:pPr>
          </w:p>
        </w:tc>
      </w:tr>
      <w:tr w:rsidR="005415D2" w14:paraId="7130C8BE" w14:textId="77777777">
        <w:tc>
          <w:tcPr>
            <w:tcW w:w="2405" w:type="dxa"/>
            <w:tcBorders>
              <w:top w:val="single" w:sz="4" w:space="0" w:color="auto"/>
              <w:left w:val="single" w:sz="4" w:space="0" w:color="auto"/>
              <w:bottom w:val="single" w:sz="4" w:space="0" w:color="auto"/>
              <w:right w:val="single" w:sz="4" w:space="0" w:color="auto"/>
            </w:tcBorders>
            <w:hideMark/>
          </w:tcPr>
          <w:p w14:paraId="0DF3A7D9" w14:textId="77777777" w:rsidR="005415D2" w:rsidRDefault="00083003">
            <w:r>
              <w:t>Primary</w:t>
            </w:r>
          </w:p>
        </w:tc>
        <w:tc>
          <w:tcPr>
            <w:tcW w:w="3686" w:type="dxa"/>
            <w:tcBorders>
              <w:top w:val="single" w:sz="4" w:space="0" w:color="auto"/>
              <w:left w:val="single" w:sz="4" w:space="0" w:color="auto"/>
              <w:bottom w:val="single" w:sz="4" w:space="0" w:color="auto"/>
              <w:right w:val="single" w:sz="4" w:space="0" w:color="auto"/>
            </w:tcBorders>
            <w:hideMark/>
          </w:tcPr>
          <w:p w14:paraId="577AD721" w14:textId="77777777" w:rsidR="005415D2" w:rsidRDefault="00083003">
            <w:r>
              <w:t>60,00</w:t>
            </w:r>
          </w:p>
        </w:tc>
        <w:tc>
          <w:tcPr>
            <w:tcW w:w="3537" w:type="dxa"/>
            <w:tcBorders>
              <w:top w:val="single" w:sz="4" w:space="0" w:color="auto"/>
              <w:left w:val="single" w:sz="4" w:space="0" w:color="auto"/>
              <w:bottom w:val="single" w:sz="4" w:space="0" w:color="auto"/>
              <w:right w:val="single" w:sz="4" w:space="0" w:color="auto"/>
            </w:tcBorders>
            <w:hideMark/>
          </w:tcPr>
          <w:p w14:paraId="1E9C0464" w14:textId="77777777" w:rsidR="005415D2" w:rsidRDefault="00083003">
            <w:r>
              <w:t>30,00</w:t>
            </w:r>
          </w:p>
        </w:tc>
        <w:tc>
          <w:tcPr>
            <w:tcW w:w="3537" w:type="dxa"/>
            <w:tcBorders>
              <w:top w:val="single" w:sz="4" w:space="0" w:color="auto"/>
              <w:left w:val="single" w:sz="4" w:space="0" w:color="auto"/>
              <w:bottom w:val="single" w:sz="4" w:space="0" w:color="auto"/>
              <w:right w:val="single" w:sz="4" w:space="0" w:color="auto"/>
            </w:tcBorders>
            <w:hideMark/>
          </w:tcPr>
          <w:p w14:paraId="626121A1" w14:textId="77777777" w:rsidR="005415D2" w:rsidRDefault="00083003">
            <w:r>
              <w:t>10,00</w:t>
            </w:r>
          </w:p>
        </w:tc>
        <w:tc>
          <w:tcPr>
            <w:tcW w:w="3537" w:type="dxa"/>
            <w:tcBorders>
              <w:top w:val="single" w:sz="4" w:space="0" w:color="auto"/>
              <w:left w:val="single" w:sz="4" w:space="0" w:color="auto"/>
              <w:bottom w:val="single" w:sz="4" w:space="0" w:color="auto"/>
              <w:right w:val="single" w:sz="4" w:space="0" w:color="auto"/>
            </w:tcBorders>
            <w:hideMark/>
          </w:tcPr>
          <w:p w14:paraId="43540B42" w14:textId="77777777" w:rsidR="005415D2" w:rsidRDefault="00083003">
            <w:r>
              <w:t>0,00</w:t>
            </w:r>
          </w:p>
          <w:p w14:paraId="0A40C0CA" w14:textId="77777777" w:rsidR="005415D2" w:rsidRDefault="005415D2">
            <w:pPr>
              <w:spacing w:after="0" w:line="240" w:lineRule="auto"/>
            </w:pPr>
          </w:p>
        </w:tc>
      </w:tr>
      <w:tr w:rsidR="005415D2" w14:paraId="73358405" w14:textId="77777777">
        <w:tc>
          <w:tcPr>
            <w:tcW w:w="2405" w:type="dxa"/>
            <w:tcBorders>
              <w:top w:val="single" w:sz="4" w:space="0" w:color="auto"/>
              <w:left w:val="single" w:sz="4" w:space="0" w:color="auto"/>
              <w:bottom w:val="single" w:sz="4" w:space="0" w:color="auto"/>
              <w:right w:val="single" w:sz="4" w:space="0" w:color="auto"/>
            </w:tcBorders>
            <w:hideMark/>
          </w:tcPr>
          <w:p w14:paraId="00381713" w14:textId="77777777" w:rsidR="005415D2" w:rsidRDefault="00083003">
            <w:r>
              <w:t>Secondary</w:t>
            </w:r>
          </w:p>
        </w:tc>
        <w:tc>
          <w:tcPr>
            <w:tcW w:w="3686" w:type="dxa"/>
            <w:tcBorders>
              <w:top w:val="single" w:sz="4" w:space="0" w:color="auto"/>
              <w:left w:val="single" w:sz="4" w:space="0" w:color="auto"/>
              <w:bottom w:val="single" w:sz="4" w:space="0" w:color="auto"/>
              <w:right w:val="single" w:sz="4" w:space="0" w:color="auto"/>
            </w:tcBorders>
            <w:hideMark/>
          </w:tcPr>
          <w:p w14:paraId="02D9D8F5"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7A64EECE" w14:textId="77777777" w:rsidR="005415D2" w:rsidRDefault="00083003">
            <w:r>
              <w:t>90,00</w:t>
            </w:r>
          </w:p>
        </w:tc>
        <w:tc>
          <w:tcPr>
            <w:tcW w:w="3537" w:type="dxa"/>
            <w:tcBorders>
              <w:top w:val="single" w:sz="4" w:space="0" w:color="auto"/>
              <w:left w:val="single" w:sz="4" w:space="0" w:color="auto"/>
              <w:bottom w:val="single" w:sz="4" w:space="0" w:color="auto"/>
              <w:right w:val="single" w:sz="4" w:space="0" w:color="auto"/>
            </w:tcBorders>
            <w:hideMark/>
          </w:tcPr>
          <w:p w14:paraId="0D2A4376" w14:textId="77777777" w:rsidR="005415D2" w:rsidRDefault="00083003">
            <w:r>
              <w:t>10,00</w:t>
            </w:r>
          </w:p>
        </w:tc>
        <w:tc>
          <w:tcPr>
            <w:tcW w:w="3537" w:type="dxa"/>
            <w:tcBorders>
              <w:top w:val="single" w:sz="4" w:space="0" w:color="auto"/>
              <w:left w:val="single" w:sz="4" w:space="0" w:color="auto"/>
              <w:bottom w:val="single" w:sz="4" w:space="0" w:color="auto"/>
              <w:right w:val="single" w:sz="4" w:space="0" w:color="auto"/>
            </w:tcBorders>
            <w:hideMark/>
          </w:tcPr>
          <w:p w14:paraId="296AADA8" w14:textId="77777777" w:rsidR="005415D2" w:rsidRDefault="00083003">
            <w:r>
              <w:t>0,00</w:t>
            </w:r>
          </w:p>
          <w:p w14:paraId="7C94CAD0" w14:textId="77777777" w:rsidR="005415D2" w:rsidRDefault="005415D2">
            <w:pPr>
              <w:spacing w:after="0" w:line="240" w:lineRule="auto"/>
            </w:pPr>
          </w:p>
        </w:tc>
      </w:tr>
      <w:tr w:rsidR="005415D2" w14:paraId="3F997D8B" w14:textId="77777777">
        <w:tc>
          <w:tcPr>
            <w:tcW w:w="2405" w:type="dxa"/>
            <w:tcBorders>
              <w:top w:val="single" w:sz="4" w:space="0" w:color="auto"/>
              <w:left w:val="single" w:sz="4" w:space="0" w:color="auto"/>
              <w:bottom w:val="single" w:sz="4" w:space="0" w:color="auto"/>
              <w:right w:val="single" w:sz="4" w:space="0" w:color="auto"/>
            </w:tcBorders>
            <w:hideMark/>
          </w:tcPr>
          <w:p w14:paraId="6716BAC3" w14:textId="77777777" w:rsidR="005415D2" w:rsidRDefault="00083003">
            <w:r>
              <w:t>Tertiary</w:t>
            </w:r>
          </w:p>
        </w:tc>
        <w:tc>
          <w:tcPr>
            <w:tcW w:w="3686" w:type="dxa"/>
            <w:tcBorders>
              <w:top w:val="single" w:sz="4" w:space="0" w:color="auto"/>
              <w:left w:val="single" w:sz="4" w:space="0" w:color="auto"/>
              <w:bottom w:val="single" w:sz="4" w:space="0" w:color="auto"/>
              <w:right w:val="single" w:sz="4" w:space="0" w:color="auto"/>
            </w:tcBorders>
            <w:hideMark/>
          </w:tcPr>
          <w:p w14:paraId="6E07A9EC"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370EAFD5"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497C43D6"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3F435131" w14:textId="77777777" w:rsidR="005415D2" w:rsidRDefault="00083003">
            <w:r>
              <w:t>0,00</w:t>
            </w:r>
          </w:p>
          <w:p w14:paraId="148EA696" w14:textId="77777777" w:rsidR="005415D2" w:rsidRDefault="005415D2">
            <w:pPr>
              <w:spacing w:after="0" w:line="240" w:lineRule="auto"/>
            </w:pPr>
          </w:p>
        </w:tc>
      </w:tr>
      <w:tr w:rsidR="005415D2" w14:paraId="5BA00F26" w14:textId="77777777">
        <w:tc>
          <w:tcPr>
            <w:tcW w:w="2405" w:type="dxa"/>
            <w:tcBorders>
              <w:top w:val="single" w:sz="4" w:space="0" w:color="auto"/>
              <w:left w:val="single" w:sz="4" w:space="0" w:color="auto"/>
              <w:bottom w:val="single" w:sz="4" w:space="0" w:color="auto"/>
              <w:right w:val="single" w:sz="4" w:space="0" w:color="auto"/>
            </w:tcBorders>
            <w:hideMark/>
          </w:tcPr>
          <w:p w14:paraId="7E72080C" w14:textId="77777777" w:rsidR="005415D2" w:rsidRDefault="00083003">
            <w:r>
              <w:t>Other</w:t>
            </w:r>
          </w:p>
        </w:tc>
        <w:tc>
          <w:tcPr>
            <w:tcW w:w="3686" w:type="dxa"/>
            <w:tcBorders>
              <w:top w:val="single" w:sz="4" w:space="0" w:color="auto"/>
              <w:left w:val="single" w:sz="4" w:space="0" w:color="auto"/>
              <w:bottom w:val="single" w:sz="4" w:space="0" w:color="auto"/>
              <w:right w:val="single" w:sz="4" w:space="0" w:color="auto"/>
            </w:tcBorders>
            <w:hideMark/>
          </w:tcPr>
          <w:p w14:paraId="77ABAA4B"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0FB0FBDB"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13BAB6BC"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7D010A48" w14:textId="77777777" w:rsidR="005415D2" w:rsidRDefault="00083003">
            <w:r>
              <w:t>0,00</w:t>
            </w:r>
          </w:p>
          <w:p w14:paraId="2BF47101" w14:textId="77777777" w:rsidR="005415D2" w:rsidRDefault="005415D2">
            <w:pPr>
              <w:spacing w:after="0" w:line="240" w:lineRule="auto"/>
            </w:pPr>
          </w:p>
        </w:tc>
      </w:tr>
    </w:tbl>
    <w:p w14:paraId="7792062C" w14:textId="3C0F879C" w:rsidR="005415D2" w:rsidRDefault="00083003" w:rsidP="00AF3063">
      <w:pPr>
        <w:pStyle w:val="Heading1"/>
      </w:pPr>
      <w:bookmarkStart w:id="9" w:name="_Toc397674999"/>
      <w:bookmarkStart w:id="10" w:name="_Toc412646201"/>
      <w:bookmarkStart w:id="11" w:name="_Toc63846078"/>
      <w:r>
        <w:lastRenderedPageBreak/>
        <w:t>Requirement for a Supply Base Evaluation</w:t>
      </w:r>
      <w:bookmarkEnd w:id="9"/>
      <w:bookmarkEnd w:id="10"/>
      <w:bookmarkEnd w:id="11"/>
    </w:p>
    <w:p w14:paraId="3803CE94" w14:textId="77777777" w:rsidR="005415D2" w:rsidRDefault="00083003">
      <w:pPr>
        <w:rPr>
          <w:b/>
          <w:bCs/>
        </w:rPr>
      </w:pPr>
      <w:r>
        <w:rPr>
          <w:b/>
          <w:bCs/>
        </w:rPr>
        <w:t xml:space="preserve">Is Supply Base Evaluation (SBE) is completed? </w:t>
      </w:r>
      <w:r>
        <w:t>Yes</w:t>
      </w:r>
    </w:p>
    <w:p w14:paraId="324ACB8D" w14:textId="77777777" w:rsidR="00000000" w:rsidRDefault="00052066">
      <w:pPr>
        <w:spacing w:line="260" w:lineRule="atLeast"/>
        <w:divId w:val="644940082"/>
        <w:rPr>
          <w:rFonts w:eastAsia="Times New Roman" w:cs="Arial"/>
          <w:spacing w:val="1"/>
        </w:rPr>
      </w:pPr>
      <w:r>
        <w:rPr>
          <w:rFonts w:eastAsia="Times New Roman" w:cs="Arial"/>
          <w:spacing w:val="1"/>
        </w:rPr>
        <w:t>SBP biomass supply evaluation includes</w:t>
      </w:r>
      <w:r>
        <w:rPr>
          <w:rFonts w:eastAsia="Times New Roman" w:cs="Arial"/>
          <w:spacing w:val="1"/>
        </w:rPr>
        <w:t>:</w:t>
      </w:r>
    </w:p>
    <w:p w14:paraId="7A6FA202" w14:textId="77777777" w:rsidR="00000000" w:rsidRDefault="00052066">
      <w:pPr>
        <w:spacing w:line="260" w:lineRule="atLeast"/>
        <w:divId w:val="1379475493"/>
        <w:rPr>
          <w:rFonts w:eastAsia="Times New Roman" w:cs="Arial"/>
          <w:spacing w:val="1"/>
        </w:rPr>
      </w:pPr>
      <w:r>
        <w:rPr>
          <w:rFonts w:eastAsia="Times New Roman" w:cs="Arial"/>
          <w:spacing w:val="1"/>
        </w:rPr>
        <w:t>·         Primary wood (round wood) after loggin</w:t>
      </w:r>
      <w:r>
        <w:rPr>
          <w:rFonts w:eastAsia="Times New Roman" w:cs="Arial"/>
          <w:spacing w:val="1"/>
        </w:rPr>
        <w:t>g</w:t>
      </w:r>
    </w:p>
    <w:p w14:paraId="27A71300" w14:textId="77777777" w:rsidR="00000000" w:rsidRDefault="00052066">
      <w:pPr>
        <w:spacing w:line="260" w:lineRule="atLeast"/>
        <w:divId w:val="1106540293"/>
        <w:rPr>
          <w:rFonts w:eastAsia="Times New Roman" w:cs="Arial"/>
          <w:spacing w:val="1"/>
        </w:rPr>
      </w:pPr>
      <w:r>
        <w:rPr>
          <w:rFonts w:eastAsia="Times New Roman" w:cs="Arial"/>
          <w:spacing w:val="1"/>
        </w:rPr>
        <w:t>SIA PATA defines the feedstock/biomass received from the approved sources and supplies as a “SBP-compliant biomass”</w:t>
      </w:r>
      <w:r>
        <w:rPr>
          <w:rFonts w:eastAsia="Times New Roman" w:cs="Arial"/>
          <w:spacing w:val="1"/>
        </w:rPr>
        <w:t>.</w:t>
      </w:r>
    </w:p>
    <w:p w14:paraId="4F90AC9C" w14:textId="77777777" w:rsidR="00000000" w:rsidRDefault="00052066">
      <w:pPr>
        <w:spacing w:line="260" w:lineRule="atLeast"/>
        <w:divId w:val="936406518"/>
        <w:rPr>
          <w:rFonts w:eastAsia="Times New Roman" w:cs="Arial"/>
          <w:spacing w:val="1"/>
        </w:rPr>
      </w:pPr>
      <w:r>
        <w:rPr>
          <w:rFonts w:eastAsia="Times New Roman" w:cs="Arial"/>
          <w:spacing w:val="1"/>
        </w:rPr>
        <w:t xml:space="preserve">SBP-endorsed </w:t>
      </w:r>
      <w:r>
        <w:rPr>
          <w:rFonts w:eastAsia="Times New Roman" w:cs="Arial"/>
          <w:spacing w:val="1"/>
        </w:rPr>
        <w:t>Regional Risk Assessments for Latvia, Estonia and Lithuania are used. Company has been developed inspection program for supply risk mitigation</w:t>
      </w:r>
      <w:r>
        <w:rPr>
          <w:rFonts w:eastAsia="Times New Roman" w:cs="Arial"/>
          <w:spacing w:val="1"/>
        </w:rPr>
        <w:t>.</w:t>
      </w:r>
    </w:p>
    <w:p w14:paraId="7C3AACB1" w14:textId="77777777" w:rsidR="00000000" w:rsidRDefault="00052066">
      <w:pPr>
        <w:spacing w:line="260" w:lineRule="atLeast"/>
        <w:divId w:val="432869197"/>
        <w:rPr>
          <w:rFonts w:eastAsia="Times New Roman" w:cs="Arial"/>
          <w:spacing w:val="1"/>
        </w:rPr>
      </w:pPr>
      <w:r>
        <w:rPr>
          <w:rFonts w:eastAsia="Times New Roman" w:cs="Arial"/>
          <w:spacing w:val="1"/>
        </w:rPr>
        <w:t xml:space="preserve">The risk assessment is divided </w:t>
      </w:r>
      <w:proofErr w:type="gramStart"/>
      <w:r>
        <w:rPr>
          <w:rFonts w:eastAsia="Times New Roman" w:cs="Arial"/>
          <w:spacing w:val="1"/>
        </w:rPr>
        <w:t>into :</w:t>
      </w:r>
      <w:proofErr w:type="gramEnd"/>
      <w:r>
        <w:rPr>
          <w:rFonts w:eastAsia="Times New Roman" w:cs="Arial"/>
          <w:spacing w:val="1"/>
        </w:rPr>
        <w:t xml:space="preserve"> “low risk”, “specified risk” or “unspecified risk”. </w:t>
      </w:r>
      <w:r>
        <w:rPr>
          <w:rFonts w:eastAsia="Times New Roman" w:cs="Arial"/>
          <w:spacing w:val="1"/>
        </w:rPr>
        <w:t> </w:t>
      </w:r>
    </w:p>
    <w:p w14:paraId="26BDCC30" w14:textId="618C79B2" w:rsidR="005415D2" w:rsidRDefault="00083003" w:rsidP="00AF3063">
      <w:pPr>
        <w:pStyle w:val="Heading1"/>
      </w:pPr>
      <w:bookmarkStart w:id="12" w:name="_Toc63846079"/>
      <w:r>
        <w:lastRenderedPageBreak/>
        <w:t>Supply Base Evaluation</w:t>
      </w:r>
      <w:bookmarkEnd w:id="12"/>
    </w:p>
    <w:p w14:paraId="5A4F1B23" w14:textId="2DDF4128" w:rsidR="005415D2" w:rsidRPr="000C27C4" w:rsidRDefault="00083003" w:rsidP="000C27C4">
      <w:pPr>
        <w:pStyle w:val="Heading2"/>
      </w:pPr>
      <w:bookmarkStart w:id="13" w:name="_Toc63846080"/>
      <w:r w:rsidRPr="000C27C4">
        <w:t>Scope</w:t>
      </w:r>
      <w:bookmarkEnd w:id="13"/>
    </w:p>
    <w:p w14:paraId="27D0F56B" w14:textId="77777777" w:rsidR="005415D2" w:rsidRPr="000C27C4" w:rsidRDefault="00083003">
      <w:pPr>
        <w:rPr>
          <w:rFonts w:cs="Arial"/>
        </w:rPr>
      </w:pPr>
      <w:r w:rsidRPr="000C27C4">
        <w:rPr>
          <w:rFonts w:cs="Arial"/>
          <w:b/>
          <w:bCs/>
          <w:iCs/>
        </w:rPr>
        <w:t>Feedstock types included in SBE:</w:t>
      </w:r>
      <w:r w:rsidRPr="000C27C4">
        <w:rPr>
          <w:rFonts w:cs="Arial"/>
        </w:rPr>
        <w:t xml:space="preserve"> Primary</w:t>
      </w:r>
    </w:p>
    <w:p w14:paraId="1663CC56" w14:textId="77777777" w:rsidR="005415D2" w:rsidRPr="000C27C4" w:rsidRDefault="00083003">
      <w:pPr>
        <w:rPr>
          <w:rFonts w:cs="Arial"/>
        </w:rPr>
      </w:pPr>
      <w:r w:rsidRPr="000C27C4">
        <w:rPr>
          <w:rFonts w:cs="Arial"/>
          <w:b/>
          <w:bCs/>
          <w:iCs/>
        </w:rPr>
        <w:t>SBP-endorsed Regional Risk Assessments used</w:t>
      </w:r>
      <w:r w:rsidRPr="000C27C4">
        <w:rPr>
          <w:rFonts w:cs="Arial"/>
        </w:rPr>
        <w:t>: Estonia, Lithuania, Latvia</w:t>
      </w:r>
    </w:p>
    <w:p w14:paraId="0DA2B724" w14:textId="77777777" w:rsidR="005415D2" w:rsidRPr="000C27C4" w:rsidRDefault="00083003">
      <w:pPr>
        <w:rPr>
          <w:rFonts w:cs="Arial"/>
          <w:i/>
          <w:iCs/>
          <w:lang w:val="en-US"/>
        </w:rPr>
      </w:pPr>
      <w:r w:rsidRPr="000C27C4">
        <w:rPr>
          <w:rFonts w:cs="Arial"/>
          <w:b/>
          <w:bCs/>
          <w:iCs/>
        </w:rPr>
        <w:t xml:space="preserve">List of countries and regions included in the SBE: </w:t>
      </w:r>
    </w:p>
    <w:p w14:paraId="3658A6E3" w14:textId="718EA1F5" w:rsidR="005415D2" w:rsidRDefault="00083003">
      <w:pPr>
        <w:spacing w:after="0" w:line="240" w:lineRule="auto"/>
        <w:rPr>
          <w:rFonts w:cs="Arial"/>
          <w:lang w:val="en-US" w:eastAsia="nl-NL"/>
        </w:rPr>
      </w:pPr>
      <w:r w:rsidRPr="005B5CFF">
        <w:rPr>
          <w:rFonts w:cs="Arial"/>
          <w:lang w:val="en-US" w:eastAsia="nl-NL"/>
        </w:rPr>
        <w:t xml:space="preserve"> </w:t>
      </w:r>
    </w:p>
    <w:p w14:paraId="07E82CDE" w14:textId="77777777" w:rsidR="0059791E" w:rsidRPr="005B5CFF" w:rsidRDefault="0059791E">
      <w:pPr>
        <w:spacing w:after="0" w:line="240" w:lineRule="auto"/>
        <w:rPr>
          <w:rFonts w:cs="Arial"/>
          <w:lang w:val="en-US" w:eastAsia="nl-NL"/>
        </w:rPr>
      </w:pPr>
    </w:p>
    <w:p w14:paraId="02071EE5" w14:textId="5222802C" w:rsidR="005415D2" w:rsidRPr="000C27C4" w:rsidRDefault="00083003">
      <w:pPr>
        <w:rPr>
          <w:rFonts w:cs="Arial"/>
        </w:rPr>
      </w:pPr>
      <w:r w:rsidRPr="000C27C4">
        <w:rPr>
          <w:rFonts w:cs="Arial"/>
          <w:b/>
          <w:bCs/>
          <w:iCs/>
        </w:rPr>
        <w:t>Country</w:t>
      </w:r>
      <w:r w:rsidR="00EC24CB">
        <w:rPr>
          <w:rFonts w:cs="Arial"/>
          <w:b/>
          <w:bCs/>
          <w:iCs/>
        </w:rPr>
        <w:t>:</w:t>
      </w:r>
      <w:r w:rsidR="005559E1">
        <w:rPr>
          <w:rFonts w:cs="Arial"/>
          <w:b/>
          <w:bCs/>
          <w:iCs/>
        </w:rPr>
        <w:t xml:space="preserve"> </w:t>
      </w:r>
      <w:r w:rsidRPr="000C27C4">
        <w:rPr>
          <w:rFonts w:cs="Arial"/>
        </w:rPr>
        <w:t>Latvia</w:t>
      </w:r>
    </w:p>
    <w:p w14:paraId="6D6F2EAB" w14:textId="2B20B583" w:rsidR="00EC24CB" w:rsidRDefault="00083003" w:rsidP="00EC24CB">
      <w:pPr>
        <w:spacing w:after="0"/>
        <w:rPr>
          <w:rFonts w:cs="Arial"/>
          <w:b/>
          <w:bCs/>
          <w:iCs/>
        </w:rPr>
      </w:pPr>
      <w:r w:rsidRPr="000C27C4">
        <w:rPr>
          <w:rFonts w:cs="Arial"/>
          <w:b/>
          <w:bCs/>
          <w:iCs/>
        </w:rPr>
        <w:t>Indicator with specified risk in the risk assessment used</w:t>
      </w:r>
      <w:r w:rsidR="00EC24CB">
        <w:rPr>
          <w:rFonts w:cs="Arial"/>
          <w:b/>
          <w:bCs/>
          <w:iCs/>
        </w:rPr>
        <w:t>:</w:t>
      </w:r>
      <w:r w:rsidR="005559E1">
        <w:rPr>
          <w:rFonts w:cs="Arial"/>
          <w:b/>
          <w:bCs/>
          <w:iCs/>
        </w:rPr>
        <w:t xml:space="preserve"> </w:t>
      </w:r>
    </w:p>
    <w:p w14:paraId="6638F528" w14:textId="48D34E49" w:rsidR="005415D2" w:rsidRPr="000C27C4" w:rsidRDefault="00083003">
      <w:pPr>
        <w:rPr>
          <w:rFonts w:cs="Arial"/>
        </w:rPr>
      </w:pPr>
      <w:r w:rsidRPr="000C27C4">
        <w:rPr>
          <w:rFonts w:cs="Arial"/>
        </w:rPr>
        <w:t>2.1.1 The BP has implemented appropriate control systems and procedures for verifying that forests and other areas with high conservation value in the Supply Base are identified and mapped.</w:t>
      </w:r>
    </w:p>
    <w:p w14:paraId="3E6F89DB" w14:textId="20E0261A" w:rsidR="0059791E" w:rsidRDefault="00083003" w:rsidP="0059791E">
      <w:pPr>
        <w:spacing w:after="0"/>
        <w:rPr>
          <w:rFonts w:cs="Arial"/>
          <w:b/>
          <w:bCs/>
          <w:iCs/>
        </w:rPr>
      </w:pPr>
      <w:r w:rsidRPr="000C27C4">
        <w:rPr>
          <w:rFonts w:cs="Arial"/>
          <w:b/>
          <w:bCs/>
          <w:iCs/>
        </w:rPr>
        <w:t>Specific risk description</w:t>
      </w:r>
      <w:r w:rsidR="00EC24CB">
        <w:rPr>
          <w:rFonts w:cs="Arial"/>
          <w:b/>
          <w:bCs/>
          <w:iCs/>
        </w:rPr>
        <w:t>:</w:t>
      </w:r>
    </w:p>
    <w:p w14:paraId="3572805B" w14:textId="77777777" w:rsidR="00000000" w:rsidRDefault="00052066">
      <w:pPr>
        <w:spacing w:line="260" w:lineRule="atLeast"/>
        <w:divId w:val="1912538466"/>
        <w:rPr>
          <w:rFonts w:eastAsia="Times New Roman" w:cs="Arial"/>
          <w:spacing w:val="1"/>
        </w:rPr>
      </w:pPr>
      <w:r>
        <w:rPr>
          <w:rFonts w:eastAsia="Times New Roman" w:cs="Arial"/>
          <w:spacing w:val="1"/>
        </w:rPr>
        <w:t xml:space="preserve">High Conservation Value </w:t>
      </w:r>
      <w:proofErr w:type="gramStart"/>
      <w:r>
        <w:rPr>
          <w:rFonts w:eastAsia="Times New Roman" w:cs="Arial"/>
          <w:spacing w:val="1"/>
        </w:rPr>
        <w:t>Forests :</w:t>
      </w:r>
      <w:proofErr w:type="gramEnd"/>
      <w:r>
        <w:rPr>
          <w:rFonts w:eastAsia="Times New Roman" w:cs="Arial"/>
          <w:spacing w:val="1"/>
        </w:rPr>
        <w:t xml:space="preserve"> include Natura 2000 sites, EU protected habitats, Woodland key habitats - the risk level for this subcategory is considered to be specified risk for non-certified forests</w:t>
      </w:r>
      <w:r>
        <w:rPr>
          <w:rFonts w:eastAsia="Times New Roman" w:cs="Arial"/>
          <w:spacing w:val="1"/>
        </w:rPr>
        <w:t>.</w:t>
      </w:r>
    </w:p>
    <w:p w14:paraId="04B30572" w14:textId="77777777" w:rsidR="00000000" w:rsidRDefault="00052066">
      <w:pPr>
        <w:spacing w:line="260" w:lineRule="atLeast"/>
        <w:divId w:val="64425869"/>
        <w:rPr>
          <w:rFonts w:eastAsia="Times New Roman" w:cs="Arial"/>
          <w:spacing w:val="1"/>
        </w:rPr>
      </w:pPr>
      <w:r>
        <w:rPr>
          <w:rFonts w:eastAsia="Times New Roman" w:cs="Arial"/>
          <w:spacing w:val="1"/>
        </w:rPr>
        <w:t xml:space="preserve">High Conservation Value </w:t>
      </w:r>
      <w:proofErr w:type="gramStart"/>
      <w:r>
        <w:rPr>
          <w:rFonts w:eastAsia="Times New Roman" w:cs="Arial"/>
          <w:spacing w:val="1"/>
        </w:rPr>
        <w:t>Forests :</w:t>
      </w:r>
      <w:proofErr w:type="gramEnd"/>
      <w:r>
        <w:rPr>
          <w:rFonts w:eastAsia="Times New Roman" w:cs="Arial"/>
          <w:spacing w:val="1"/>
        </w:rPr>
        <w:t xml:space="preserve"> Forest and parks in or around objects of cultural heritage, for instance, manor parks, urban forests, forests of important historical sites - there is no information compiled on the cultural heritage of such forests and th</w:t>
      </w:r>
      <w:r>
        <w:rPr>
          <w:rFonts w:eastAsia="Times New Roman" w:cs="Arial"/>
          <w:spacing w:val="1"/>
        </w:rPr>
        <w:t>e actual cultural heritage status is not fully acknowledged in private, municipal and church owned forests.</w:t>
      </w:r>
    </w:p>
    <w:p w14:paraId="58DC0BD5" w14:textId="77777777" w:rsidR="005415D2" w:rsidRPr="005B5CFF" w:rsidRDefault="00083003">
      <w:pPr>
        <w:spacing w:after="0" w:line="240" w:lineRule="auto"/>
        <w:rPr>
          <w:rFonts w:cs="Arial"/>
          <w:lang w:val="en-US" w:eastAsia="nl-NL"/>
        </w:rPr>
      </w:pPr>
      <w:r w:rsidRPr="005B5CFF">
        <w:rPr>
          <w:rFonts w:cs="Arial"/>
          <w:lang w:val="en-US" w:eastAsia="nl-NL"/>
        </w:rPr>
        <w:t xml:space="preserve"> </w:t>
      </w:r>
    </w:p>
    <w:p w14:paraId="62E4867B" w14:textId="77777777" w:rsidR="0059791E" w:rsidRPr="005B5CFF" w:rsidRDefault="0059791E">
      <w:pPr>
        <w:spacing w:after="0" w:line="240" w:lineRule="auto"/>
        <w:rPr>
          <w:rFonts w:cs="Arial"/>
          <w:lang w:val="en-US" w:eastAsia="nl-NL"/>
        </w:rPr>
      </w:pPr>
    </w:p>
    <w:p w14:paraId="740812FE" w14:textId="77777777" w:rsidR="005415D2" w:rsidRPr="000C27C4" w:rsidRDefault="00083003">
      <w:pPr>
        <w:rPr>
          <w:rFonts w:cs="Arial"/>
        </w:rPr>
      </w:pPr>
      <w:r w:rsidRPr="000C27C4">
        <w:rPr>
          <w:rFonts w:cs="Arial"/>
          <w:b/>
          <w:bCs/>
          <w:iCs/>
        </w:rPr>
        <w:t>Country</w:t>
      </w:r>
      <w:r w:rsidR="00EC24CB">
        <w:rPr>
          <w:rFonts w:cs="Arial"/>
          <w:b/>
          <w:bCs/>
          <w:iCs/>
        </w:rPr>
        <w:t>:</w:t>
      </w:r>
      <w:r w:rsidR="005559E1">
        <w:rPr>
          <w:rFonts w:cs="Arial"/>
          <w:b/>
          <w:bCs/>
          <w:iCs/>
        </w:rPr>
        <w:t xml:space="preserve"> </w:t>
      </w:r>
      <w:r w:rsidRPr="000C27C4">
        <w:rPr>
          <w:rFonts w:cs="Arial"/>
        </w:rPr>
        <w:t>Latvia</w:t>
      </w:r>
    </w:p>
    <w:p w14:paraId="74CD9334" w14:textId="77777777" w:rsidR="00EC24CB" w:rsidRDefault="00083003" w:rsidP="00EC24CB">
      <w:pPr>
        <w:spacing w:after="0"/>
        <w:rPr>
          <w:rFonts w:cs="Arial"/>
          <w:b/>
          <w:bCs/>
          <w:iCs/>
        </w:rPr>
      </w:pPr>
      <w:r w:rsidRPr="000C27C4">
        <w:rPr>
          <w:rFonts w:cs="Arial"/>
          <w:b/>
          <w:bCs/>
          <w:iCs/>
        </w:rPr>
        <w:t>Indicator with specified risk in the risk assessment used</w:t>
      </w:r>
      <w:r w:rsidR="00EC24CB">
        <w:rPr>
          <w:rFonts w:cs="Arial"/>
          <w:b/>
          <w:bCs/>
          <w:iCs/>
        </w:rPr>
        <w:t>:</w:t>
      </w:r>
      <w:r w:rsidR="005559E1">
        <w:rPr>
          <w:rFonts w:cs="Arial"/>
          <w:b/>
          <w:bCs/>
          <w:iCs/>
        </w:rPr>
        <w:t xml:space="preserve"> </w:t>
      </w:r>
    </w:p>
    <w:p w14:paraId="0D9538B1" w14:textId="77777777" w:rsidR="005415D2" w:rsidRPr="000C27C4" w:rsidRDefault="00083003">
      <w:pPr>
        <w:rPr>
          <w:rFonts w:cs="Arial"/>
        </w:rPr>
      </w:pPr>
      <w:r w:rsidRPr="000C27C4">
        <w:rPr>
          <w:rFonts w:cs="Arial"/>
        </w:rPr>
        <w:t>2.1.2 The BP has implemented appropriate control systems and procedures to identify and address potential threats to forests and other areas with high conservation values from forest management activities.</w:t>
      </w:r>
    </w:p>
    <w:p w14:paraId="30AC8916" w14:textId="77777777" w:rsidR="0059791E" w:rsidRDefault="00083003" w:rsidP="0059791E">
      <w:pPr>
        <w:spacing w:after="0"/>
        <w:rPr>
          <w:rFonts w:cs="Arial"/>
          <w:b/>
          <w:bCs/>
          <w:iCs/>
        </w:rPr>
      </w:pPr>
      <w:r w:rsidRPr="000C27C4">
        <w:rPr>
          <w:rFonts w:cs="Arial"/>
          <w:b/>
          <w:bCs/>
          <w:iCs/>
        </w:rPr>
        <w:t>Specific risk description</w:t>
      </w:r>
      <w:r w:rsidR="00EC24CB">
        <w:rPr>
          <w:rFonts w:cs="Arial"/>
          <w:b/>
          <w:bCs/>
          <w:iCs/>
        </w:rPr>
        <w:t>:</w:t>
      </w:r>
    </w:p>
    <w:p w14:paraId="30FAF5F3" w14:textId="77777777" w:rsidR="00000000" w:rsidRDefault="00052066">
      <w:pPr>
        <w:spacing w:line="260" w:lineRule="atLeast"/>
        <w:divId w:val="1712530308"/>
        <w:rPr>
          <w:rFonts w:eastAsia="Times New Roman" w:cs="Arial"/>
          <w:spacing w:val="1"/>
        </w:rPr>
      </w:pPr>
      <w:r>
        <w:rPr>
          <w:rFonts w:eastAsia="Times New Roman" w:cs="Arial"/>
          <w:spacing w:val="1"/>
        </w:rPr>
        <w:t xml:space="preserve">High Conservation Value </w:t>
      </w:r>
      <w:proofErr w:type="gramStart"/>
      <w:r>
        <w:rPr>
          <w:rFonts w:eastAsia="Times New Roman" w:cs="Arial"/>
          <w:spacing w:val="1"/>
        </w:rPr>
        <w:t>Forests :</w:t>
      </w:r>
      <w:proofErr w:type="gramEnd"/>
      <w:r>
        <w:rPr>
          <w:rFonts w:eastAsia="Times New Roman" w:cs="Arial"/>
          <w:spacing w:val="1"/>
        </w:rPr>
        <w:t xml:space="preserve"> With regard to identification and protection of conservation values, there </w:t>
      </w:r>
      <w:r>
        <w:rPr>
          <w:rFonts w:eastAsia="Times New Roman" w:cs="Arial"/>
          <w:spacing w:val="1"/>
        </w:rPr>
        <w:t>is an expert concern about nesting areas of a number of species included in the Bird’s Directive Annex I which are not identified and registered in the forest register databases and thus “de facto” are not protected outside protected nature territories wit</w:t>
      </w:r>
      <w:r>
        <w:rPr>
          <w:rFonts w:eastAsia="Times New Roman" w:cs="Arial"/>
          <w:spacing w:val="1"/>
        </w:rPr>
        <w:t>h special protection regimes</w:t>
      </w:r>
      <w:r>
        <w:rPr>
          <w:rFonts w:eastAsia="Times New Roman" w:cs="Arial"/>
          <w:spacing w:val="1"/>
        </w:rPr>
        <w:t>.</w:t>
      </w:r>
    </w:p>
    <w:p w14:paraId="26BA38D4" w14:textId="77777777" w:rsidR="00000000" w:rsidRDefault="00052066">
      <w:pPr>
        <w:spacing w:line="260" w:lineRule="atLeast"/>
        <w:divId w:val="400559965"/>
        <w:rPr>
          <w:rFonts w:eastAsia="Times New Roman" w:cs="Arial"/>
          <w:spacing w:val="1"/>
        </w:rPr>
      </w:pPr>
      <w:r>
        <w:rPr>
          <w:rFonts w:eastAsia="Times New Roman" w:cs="Arial"/>
          <w:spacing w:val="1"/>
        </w:rPr>
        <w:t xml:space="preserve">High Conservation Value </w:t>
      </w:r>
      <w:proofErr w:type="gramStart"/>
      <w:r>
        <w:rPr>
          <w:rFonts w:eastAsia="Times New Roman" w:cs="Arial"/>
          <w:spacing w:val="1"/>
        </w:rPr>
        <w:t>Forests :</w:t>
      </w:r>
      <w:proofErr w:type="gramEnd"/>
      <w:r>
        <w:rPr>
          <w:rFonts w:eastAsia="Times New Roman" w:cs="Arial"/>
          <w:spacing w:val="1"/>
        </w:rPr>
        <w:t xml:space="preserve"> Problematic areas in relation to threats to forests and other areas with high conservation values, are nature values in woodland key habitats (WKH) and/or EU protected forest habitats in non-c</w:t>
      </w:r>
      <w:r>
        <w:rPr>
          <w:rFonts w:eastAsia="Times New Roman" w:cs="Arial"/>
          <w:spacing w:val="1"/>
        </w:rPr>
        <w:t>ertified forests</w:t>
      </w:r>
      <w:r>
        <w:rPr>
          <w:rFonts w:eastAsia="Times New Roman" w:cs="Arial"/>
          <w:spacing w:val="1"/>
        </w:rPr>
        <w:t>.</w:t>
      </w:r>
    </w:p>
    <w:p w14:paraId="5122F6C7" w14:textId="77777777" w:rsidR="00000000" w:rsidRDefault="00052066">
      <w:pPr>
        <w:spacing w:line="260" w:lineRule="atLeast"/>
        <w:divId w:val="1981230619"/>
        <w:rPr>
          <w:rFonts w:eastAsia="Times New Roman" w:cs="Arial"/>
          <w:spacing w:val="1"/>
        </w:rPr>
      </w:pPr>
      <w:r>
        <w:rPr>
          <w:rFonts w:eastAsia="Times New Roman" w:cs="Arial"/>
          <w:spacing w:val="1"/>
        </w:rPr>
        <w:t xml:space="preserve">High Conservation Value </w:t>
      </w:r>
      <w:proofErr w:type="gramStart"/>
      <w:r>
        <w:rPr>
          <w:rFonts w:eastAsia="Times New Roman" w:cs="Arial"/>
          <w:spacing w:val="1"/>
        </w:rPr>
        <w:t>Forests :</w:t>
      </w:r>
      <w:proofErr w:type="gramEnd"/>
      <w:r>
        <w:rPr>
          <w:rFonts w:eastAsia="Times New Roman" w:cs="Arial"/>
          <w:spacing w:val="1"/>
        </w:rPr>
        <w:t xml:space="preserve"> isolated cases of destruction/damaging of objects of cultural heritage in private forests.</w:t>
      </w:r>
    </w:p>
    <w:p w14:paraId="4562215C" w14:textId="77777777" w:rsidR="005415D2" w:rsidRPr="005B5CFF" w:rsidRDefault="00083003">
      <w:pPr>
        <w:spacing w:after="0" w:line="240" w:lineRule="auto"/>
        <w:rPr>
          <w:rFonts w:cs="Arial"/>
          <w:lang w:val="en-US" w:eastAsia="nl-NL"/>
        </w:rPr>
      </w:pPr>
      <w:r w:rsidRPr="005B5CFF">
        <w:rPr>
          <w:rFonts w:cs="Arial"/>
          <w:lang w:val="en-US" w:eastAsia="nl-NL"/>
        </w:rPr>
        <w:t xml:space="preserve"> </w:t>
      </w:r>
    </w:p>
    <w:p w14:paraId="60A6A3EE" w14:textId="77777777" w:rsidR="0059791E" w:rsidRPr="005B5CFF" w:rsidRDefault="0059791E">
      <w:pPr>
        <w:spacing w:after="0" w:line="240" w:lineRule="auto"/>
        <w:rPr>
          <w:rFonts w:cs="Arial"/>
          <w:lang w:val="en-US" w:eastAsia="nl-NL"/>
        </w:rPr>
      </w:pPr>
    </w:p>
    <w:p w14:paraId="73EBD5AC" w14:textId="77777777" w:rsidR="005415D2" w:rsidRPr="000C27C4" w:rsidRDefault="00083003">
      <w:pPr>
        <w:rPr>
          <w:rFonts w:cs="Arial"/>
        </w:rPr>
      </w:pPr>
      <w:r w:rsidRPr="000C27C4">
        <w:rPr>
          <w:rFonts w:cs="Arial"/>
          <w:b/>
          <w:bCs/>
          <w:iCs/>
        </w:rPr>
        <w:t>Country</w:t>
      </w:r>
      <w:r w:rsidR="00EC24CB">
        <w:rPr>
          <w:rFonts w:cs="Arial"/>
          <w:b/>
          <w:bCs/>
          <w:iCs/>
        </w:rPr>
        <w:t>:</w:t>
      </w:r>
      <w:r w:rsidR="005559E1">
        <w:rPr>
          <w:rFonts w:cs="Arial"/>
          <w:b/>
          <w:bCs/>
          <w:iCs/>
        </w:rPr>
        <w:t xml:space="preserve"> </w:t>
      </w:r>
      <w:r w:rsidRPr="000C27C4">
        <w:rPr>
          <w:rFonts w:cs="Arial"/>
        </w:rPr>
        <w:t>Latvia</w:t>
      </w:r>
    </w:p>
    <w:p w14:paraId="39711D1F" w14:textId="77777777" w:rsidR="00EC24CB" w:rsidRDefault="00083003" w:rsidP="00EC24CB">
      <w:pPr>
        <w:spacing w:after="0"/>
        <w:rPr>
          <w:rFonts w:cs="Arial"/>
          <w:b/>
          <w:bCs/>
          <w:iCs/>
        </w:rPr>
      </w:pPr>
      <w:r w:rsidRPr="000C27C4">
        <w:rPr>
          <w:rFonts w:cs="Arial"/>
          <w:b/>
          <w:bCs/>
          <w:iCs/>
        </w:rPr>
        <w:t>Indicator with specified risk in the risk assessment used</w:t>
      </w:r>
      <w:r w:rsidR="00EC24CB">
        <w:rPr>
          <w:rFonts w:cs="Arial"/>
          <w:b/>
          <w:bCs/>
          <w:iCs/>
        </w:rPr>
        <w:t>:</w:t>
      </w:r>
      <w:r w:rsidR="005559E1">
        <w:rPr>
          <w:rFonts w:cs="Arial"/>
          <w:b/>
          <w:bCs/>
          <w:iCs/>
        </w:rPr>
        <w:t xml:space="preserve"> </w:t>
      </w:r>
    </w:p>
    <w:p w14:paraId="43770EFF" w14:textId="77777777" w:rsidR="005415D2" w:rsidRPr="000C27C4" w:rsidRDefault="00083003">
      <w:pPr>
        <w:rPr>
          <w:rFonts w:cs="Arial"/>
        </w:rPr>
      </w:pPr>
      <w:r w:rsidRPr="000C27C4">
        <w:rPr>
          <w:rFonts w:cs="Arial"/>
        </w:rPr>
        <w:lastRenderedPageBreak/>
        <w:t>2.8.1 The BP has implemented appropriate control systems and procedures for verifying that appropriate safeguards are put in place to protect the health and safety of forest workers (CPET S12).</w:t>
      </w:r>
    </w:p>
    <w:p w14:paraId="49871338" w14:textId="77777777" w:rsidR="0059791E" w:rsidRDefault="00083003" w:rsidP="0059791E">
      <w:pPr>
        <w:spacing w:after="0"/>
        <w:rPr>
          <w:rFonts w:cs="Arial"/>
          <w:b/>
          <w:bCs/>
          <w:iCs/>
        </w:rPr>
      </w:pPr>
      <w:r w:rsidRPr="000C27C4">
        <w:rPr>
          <w:rFonts w:cs="Arial"/>
          <w:b/>
          <w:bCs/>
          <w:iCs/>
        </w:rPr>
        <w:t>Specific risk description</w:t>
      </w:r>
      <w:r w:rsidR="00EC24CB">
        <w:rPr>
          <w:rFonts w:cs="Arial"/>
          <w:b/>
          <w:bCs/>
          <w:iCs/>
        </w:rPr>
        <w:t>:</w:t>
      </w:r>
    </w:p>
    <w:p w14:paraId="4EDBC234" w14:textId="77777777" w:rsidR="00000000" w:rsidRDefault="00052066">
      <w:pPr>
        <w:spacing w:line="260" w:lineRule="atLeast"/>
        <w:divId w:val="1576549040"/>
        <w:rPr>
          <w:rFonts w:eastAsia="Times New Roman" w:cs="Arial"/>
          <w:spacing w:val="1"/>
        </w:rPr>
      </w:pPr>
      <w:r>
        <w:rPr>
          <w:rFonts w:eastAsia="Times New Roman" w:cs="Arial"/>
          <w:spacing w:val="1"/>
        </w:rPr>
        <w:t xml:space="preserve">Low risk can be considered for: • companies working as subcontractors for certified forest managers and who are routinely checked for OH&amp;S issues or are </w:t>
      </w:r>
      <w:r>
        <w:rPr>
          <w:rFonts w:eastAsia="Times New Roman" w:cs="Arial"/>
          <w:spacing w:val="1"/>
        </w:rPr>
        <w:t xml:space="preserve">implementing quality management systems in relation to OH&amp;S issues (ISO 45001 for example); • harvesting works which are carried out exclusively with forest machinery (harvesters). “Specified risk” is considered for: Harvesting works which are carried out </w:t>
      </w:r>
      <w:r>
        <w:rPr>
          <w:rFonts w:eastAsia="Times New Roman" w:cs="Arial"/>
          <w:spacing w:val="1"/>
        </w:rPr>
        <w:t>by manual harvesting means (chainsaws) in noncertified forests. Special focus shall be paid to self-employed persons and workers of microenterprises.</w:t>
      </w:r>
    </w:p>
    <w:p w14:paraId="5FB635F5" w14:textId="77777777" w:rsidR="005415D2" w:rsidRPr="005B5CFF" w:rsidRDefault="00083003">
      <w:pPr>
        <w:spacing w:after="0" w:line="240" w:lineRule="auto"/>
        <w:rPr>
          <w:rFonts w:cs="Arial"/>
          <w:lang w:val="en-US" w:eastAsia="nl-NL"/>
        </w:rPr>
      </w:pPr>
      <w:r w:rsidRPr="005B5CFF">
        <w:rPr>
          <w:rFonts w:cs="Arial"/>
          <w:lang w:val="en-US" w:eastAsia="nl-NL"/>
        </w:rPr>
        <w:t xml:space="preserve"> </w:t>
      </w:r>
    </w:p>
    <w:p w14:paraId="6C40D583" w14:textId="77777777" w:rsidR="0059791E" w:rsidRPr="005B5CFF" w:rsidRDefault="0059791E">
      <w:pPr>
        <w:spacing w:after="0" w:line="240" w:lineRule="auto"/>
        <w:rPr>
          <w:rFonts w:cs="Arial"/>
          <w:lang w:val="en-US" w:eastAsia="nl-NL"/>
        </w:rPr>
      </w:pPr>
    </w:p>
    <w:p w14:paraId="0E4BF6CF" w14:textId="77777777" w:rsidR="005415D2" w:rsidRPr="000C27C4" w:rsidRDefault="00083003">
      <w:pPr>
        <w:rPr>
          <w:rFonts w:cs="Arial"/>
        </w:rPr>
      </w:pPr>
      <w:r w:rsidRPr="000C27C4">
        <w:rPr>
          <w:rFonts w:cs="Arial"/>
          <w:b/>
          <w:bCs/>
          <w:iCs/>
        </w:rPr>
        <w:t>Country</w:t>
      </w:r>
      <w:r w:rsidR="00EC24CB">
        <w:rPr>
          <w:rFonts w:cs="Arial"/>
          <w:b/>
          <w:bCs/>
          <w:iCs/>
        </w:rPr>
        <w:t>:</w:t>
      </w:r>
      <w:r w:rsidR="005559E1">
        <w:rPr>
          <w:rFonts w:cs="Arial"/>
          <w:b/>
          <w:bCs/>
          <w:iCs/>
        </w:rPr>
        <w:t xml:space="preserve"> </w:t>
      </w:r>
      <w:r w:rsidRPr="000C27C4">
        <w:rPr>
          <w:rFonts w:cs="Arial"/>
        </w:rPr>
        <w:t>Lithuania</w:t>
      </w:r>
    </w:p>
    <w:p w14:paraId="13480C30" w14:textId="77777777" w:rsidR="00EC24CB" w:rsidRDefault="00083003" w:rsidP="00EC24CB">
      <w:pPr>
        <w:spacing w:after="0"/>
        <w:rPr>
          <w:rFonts w:cs="Arial"/>
          <w:b/>
          <w:bCs/>
          <w:iCs/>
        </w:rPr>
      </w:pPr>
      <w:r w:rsidRPr="000C27C4">
        <w:rPr>
          <w:rFonts w:cs="Arial"/>
          <w:b/>
          <w:bCs/>
          <w:iCs/>
        </w:rPr>
        <w:t>Indicator with specified risk in the risk assessment used</w:t>
      </w:r>
      <w:r w:rsidR="00EC24CB">
        <w:rPr>
          <w:rFonts w:cs="Arial"/>
          <w:b/>
          <w:bCs/>
          <w:iCs/>
        </w:rPr>
        <w:t>:</w:t>
      </w:r>
      <w:r w:rsidR="005559E1">
        <w:rPr>
          <w:rFonts w:cs="Arial"/>
          <w:b/>
          <w:bCs/>
          <w:iCs/>
        </w:rPr>
        <w:t xml:space="preserve"> </w:t>
      </w:r>
    </w:p>
    <w:p w14:paraId="4E084EA0" w14:textId="77777777" w:rsidR="005415D2" w:rsidRPr="000C27C4" w:rsidRDefault="00083003">
      <w:pPr>
        <w:rPr>
          <w:rFonts w:cs="Arial"/>
        </w:rPr>
      </w:pPr>
      <w:r w:rsidRPr="000C27C4">
        <w:rPr>
          <w:rFonts w:cs="Arial"/>
        </w:rPr>
        <w:t>2.1.2 The BP has implemented appropriate control systems and procedures to identify and address potential threats to forests and other areas with high conservation values from forest management activities.</w:t>
      </w:r>
    </w:p>
    <w:p w14:paraId="2FBD2B04" w14:textId="77777777" w:rsidR="0059791E" w:rsidRDefault="00083003" w:rsidP="0059791E">
      <w:pPr>
        <w:spacing w:after="0"/>
        <w:rPr>
          <w:rFonts w:cs="Arial"/>
          <w:b/>
          <w:bCs/>
          <w:iCs/>
        </w:rPr>
      </w:pPr>
      <w:r w:rsidRPr="000C27C4">
        <w:rPr>
          <w:rFonts w:cs="Arial"/>
          <w:b/>
          <w:bCs/>
          <w:iCs/>
        </w:rPr>
        <w:t>Specific risk description</w:t>
      </w:r>
      <w:r w:rsidR="00EC24CB">
        <w:rPr>
          <w:rFonts w:cs="Arial"/>
          <w:b/>
          <w:bCs/>
          <w:iCs/>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5"/>
      </w:tblGrid>
      <w:tr w:rsidR="00000000" w14:paraId="2085D43C" w14:textId="77777777">
        <w:trPr>
          <w:divId w:val="1959800007"/>
          <w:tblCellSpacing w:w="15" w:type="dxa"/>
        </w:trPr>
        <w:tc>
          <w:tcPr>
            <w:tcW w:w="0" w:type="auto"/>
            <w:vAlign w:val="center"/>
            <w:hideMark/>
          </w:tcPr>
          <w:p w14:paraId="0A48A8F1" w14:textId="77777777" w:rsidR="00000000" w:rsidRDefault="00052066">
            <w:pPr>
              <w:spacing w:line="260" w:lineRule="atLeast"/>
              <w:divId w:val="120005497"/>
              <w:rPr>
                <w:rFonts w:eastAsia="Times New Roman" w:cs="Arial"/>
                <w:spacing w:val="1"/>
              </w:rPr>
            </w:pPr>
            <w:r>
              <w:rPr>
                <w:rFonts w:eastAsia="Times New Roman" w:cs="Arial"/>
                <w:spacing w:val="1"/>
              </w:rPr>
              <w:t>The indicator is identified as low risk for state forest enterprises and specified risk for private forest</w:t>
            </w:r>
            <w:r>
              <w:rPr>
                <w:rFonts w:eastAsia="Times New Roman" w:cs="Arial"/>
                <w:spacing w:val="1"/>
              </w:rPr>
              <w:t>.</w:t>
            </w:r>
          </w:p>
        </w:tc>
      </w:tr>
    </w:tbl>
    <w:p w14:paraId="492BBB7E" w14:textId="77777777" w:rsidR="00000000" w:rsidRDefault="00052066">
      <w:pPr>
        <w:divId w:val="1959800007"/>
        <w:rPr>
          <w:rFonts w:eastAsia="Times New Roman"/>
        </w:rPr>
      </w:pPr>
    </w:p>
    <w:p w14:paraId="2DC4A55E" w14:textId="77777777" w:rsidR="005415D2" w:rsidRPr="005B5CFF" w:rsidRDefault="00083003">
      <w:pPr>
        <w:spacing w:after="0" w:line="240" w:lineRule="auto"/>
        <w:rPr>
          <w:rFonts w:cs="Arial"/>
          <w:lang w:val="en-US" w:eastAsia="nl-NL"/>
        </w:rPr>
      </w:pPr>
      <w:r w:rsidRPr="005B5CFF">
        <w:rPr>
          <w:rFonts w:cs="Arial"/>
          <w:lang w:val="en-US" w:eastAsia="nl-NL"/>
        </w:rPr>
        <w:t xml:space="preserve"> </w:t>
      </w:r>
    </w:p>
    <w:p w14:paraId="6C08E3C2" w14:textId="77777777" w:rsidR="0059791E" w:rsidRPr="005B5CFF" w:rsidRDefault="0059791E">
      <w:pPr>
        <w:spacing w:after="0" w:line="240" w:lineRule="auto"/>
        <w:rPr>
          <w:rFonts w:cs="Arial"/>
          <w:lang w:val="en-US" w:eastAsia="nl-NL"/>
        </w:rPr>
      </w:pPr>
    </w:p>
    <w:p w14:paraId="2C1676CC" w14:textId="77777777" w:rsidR="005415D2" w:rsidRPr="000C27C4" w:rsidRDefault="00083003">
      <w:pPr>
        <w:rPr>
          <w:rFonts w:cs="Arial"/>
        </w:rPr>
      </w:pPr>
      <w:r w:rsidRPr="000C27C4">
        <w:rPr>
          <w:rFonts w:cs="Arial"/>
          <w:b/>
          <w:bCs/>
          <w:iCs/>
        </w:rPr>
        <w:t>Country</w:t>
      </w:r>
      <w:r w:rsidR="00EC24CB">
        <w:rPr>
          <w:rFonts w:cs="Arial"/>
          <w:b/>
          <w:bCs/>
          <w:iCs/>
        </w:rPr>
        <w:t>:</w:t>
      </w:r>
      <w:r w:rsidR="005559E1">
        <w:rPr>
          <w:rFonts w:cs="Arial"/>
          <w:b/>
          <w:bCs/>
          <w:iCs/>
        </w:rPr>
        <w:t xml:space="preserve"> </w:t>
      </w:r>
      <w:r w:rsidRPr="000C27C4">
        <w:rPr>
          <w:rFonts w:cs="Arial"/>
        </w:rPr>
        <w:t>Lithuania</w:t>
      </w:r>
    </w:p>
    <w:p w14:paraId="74D84A8C" w14:textId="77777777" w:rsidR="00EC24CB" w:rsidRDefault="00083003" w:rsidP="00EC24CB">
      <w:pPr>
        <w:spacing w:after="0"/>
        <w:rPr>
          <w:rFonts w:cs="Arial"/>
          <w:b/>
          <w:bCs/>
          <w:iCs/>
        </w:rPr>
      </w:pPr>
      <w:r w:rsidRPr="000C27C4">
        <w:rPr>
          <w:rFonts w:cs="Arial"/>
          <w:b/>
          <w:bCs/>
          <w:iCs/>
        </w:rPr>
        <w:t>Indicator with specified risk in the risk assessment used</w:t>
      </w:r>
      <w:r w:rsidR="00EC24CB">
        <w:rPr>
          <w:rFonts w:cs="Arial"/>
          <w:b/>
          <w:bCs/>
          <w:iCs/>
        </w:rPr>
        <w:t>:</w:t>
      </w:r>
      <w:r w:rsidR="005559E1">
        <w:rPr>
          <w:rFonts w:cs="Arial"/>
          <w:b/>
          <w:bCs/>
          <w:iCs/>
        </w:rPr>
        <w:t xml:space="preserve"> </w:t>
      </w:r>
    </w:p>
    <w:p w14:paraId="28B0BFEB" w14:textId="77777777" w:rsidR="005415D2" w:rsidRPr="000C27C4" w:rsidRDefault="00083003">
      <w:pPr>
        <w:rPr>
          <w:rFonts w:cs="Arial"/>
        </w:rPr>
      </w:pPr>
      <w:r w:rsidRPr="000C27C4">
        <w:rPr>
          <w:rFonts w:cs="Arial"/>
        </w:rPr>
        <w:t>2.8.1 The BP has implemented appropriate control systems and procedures for verifying that appropriate safeguards are put in place to protect the health and safety of forest workers (CPET S12).</w:t>
      </w:r>
    </w:p>
    <w:p w14:paraId="1FBF52F2" w14:textId="77777777" w:rsidR="0059791E" w:rsidRDefault="00083003" w:rsidP="0059791E">
      <w:pPr>
        <w:spacing w:after="0"/>
        <w:rPr>
          <w:rFonts w:cs="Arial"/>
          <w:b/>
          <w:bCs/>
          <w:iCs/>
        </w:rPr>
      </w:pPr>
      <w:r w:rsidRPr="000C27C4">
        <w:rPr>
          <w:rFonts w:cs="Arial"/>
          <w:b/>
          <w:bCs/>
          <w:iCs/>
        </w:rPr>
        <w:t>Specific risk description</w:t>
      </w:r>
      <w:r w:rsidR="00EC24CB">
        <w:rPr>
          <w:rFonts w:cs="Arial"/>
          <w:b/>
          <w:bCs/>
          <w:iCs/>
        </w:rPr>
        <w:t>:</w:t>
      </w:r>
    </w:p>
    <w:p w14:paraId="4401FCF1" w14:textId="77777777" w:rsidR="00000000" w:rsidRDefault="00052066">
      <w:pPr>
        <w:spacing w:line="260" w:lineRule="atLeast"/>
        <w:divId w:val="165485597"/>
        <w:rPr>
          <w:rFonts w:eastAsia="Times New Roman" w:cs="Arial"/>
          <w:spacing w:val="1"/>
        </w:rPr>
      </w:pPr>
      <w:r>
        <w:rPr>
          <w:rFonts w:eastAsia="Times New Roman" w:cs="Arial"/>
          <w:spacing w:val="1"/>
        </w:rPr>
        <w:t xml:space="preserve">Within the EU forest sector, Lithuania is the country with the highest risk in relation to health and safety. There is a concern about contractors working in </w:t>
      </w:r>
      <w:r>
        <w:rPr>
          <w:rFonts w:eastAsia="Times New Roman" w:cs="Arial"/>
          <w:spacing w:val="1"/>
        </w:rPr>
        <w:t>private forest because of periodically occurring fatal and serious injuries at the work place. In addition, there are not sufficient measures to ensure that contractors working in private forest follow the health and safety requirements, therefore it was d</w:t>
      </w:r>
      <w:r>
        <w:rPr>
          <w:rFonts w:eastAsia="Times New Roman" w:cs="Arial"/>
          <w:spacing w:val="1"/>
        </w:rPr>
        <w:t>ecided to assign specified risk to this indicator for the contractors working in private forest.</w:t>
      </w:r>
    </w:p>
    <w:p w14:paraId="1B51760E" w14:textId="77777777" w:rsidR="005415D2" w:rsidRPr="005B5CFF" w:rsidRDefault="00083003">
      <w:pPr>
        <w:spacing w:after="0" w:line="240" w:lineRule="auto"/>
        <w:rPr>
          <w:rFonts w:cs="Arial"/>
          <w:lang w:val="en-US" w:eastAsia="nl-NL"/>
        </w:rPr>
      </w:pPr>
      <w:r w:rsidRPr="005B5CFF">
        <w:rPr>
          <w:rFonts w:cs="Arial"/>
          <w:lang w:val="en-US" w:eastAsia="nl-NL"/>
        </w:rPr>
        <w:t xml:space="preserve"> </w:t>
      </w:r>
    </w:p>
    <w:p w14:paraId="1F2ABC06" w14:textId="77777777" w:rsidR="0059791E" w:rsidRPr="005B5CFF" w:rsidRDefault="0059791E">
      <w:pPr>
        <w:spacing w:after="0" w:line="240" w:lineRule="auto"/>
        <w:rPr>
          <w:rFonts w:cs="Arial"/>
          <w:lang w:val="en-US" w:eastAsia="nl-NL"/>
        </w:rPr>
      </w:pPr>
    </w:p>
    <w:p w14:paraId="457BE9DA" w14:textId="77777777" w:rsidR="005415D2" w:rsidRPr="000C27C4" w:rsidRDefault="00083003">
      <w:pPr>
        <w:rPr>
          <w:rFonts w:cs="Arial"/>
        </w:rPr>
      </w:pPr>
      <w:r w:rsidRPr="000C27C4">
        <w:rPr>
          <w:rFonts w:cs="Arial"/>
          <w:b/>
          <w:bCs/>
          <w:iCs/>
        </w:rPr>
        <w:t>Country</w:t>
      </w:r>
      <w:r w:rsidR="00EC24CB">
        <w:rPr>
          <w:rFonts w:cs="Arial"/>
          <w:b/>
          <w:bCs/>
          <w:iCs/>
        </w:rPr>
        <w:t>:</w:t>
      </w:r>
      <w:r w:rsidR="005559E1">
        <w:rPr>
          <w:rFonts w:cs="Arial"/>
          <w:b/>
          <w:bCs/>
          <w:iCs/>
        </w:rPr>
        <w:t xml:space="preserve"> </w:t>
      </w:r>
      <w:r w:rsidRPr="000C27C4">
        <w:rPr>
          <w:rFonts w:cs="Arial"/>
        </w:rPr>
        <w:t>Estonia</w:t>
      </w:r>
    </w:p>
    <w:p w14:paraId="3DC72876" w14:textId="77777777" w:rsidR="00EC24CB" w:rsidRDefault="00083003" w:rsidP="00EC24CB">
      <w:pPr>
        <w:spacing w:after="0"/>
        <w:rPr>
          <w:rFonts w:cs="Arial"/>
          <w:b/>
          <w:bCs/>
          <w:iCs/>
        </w:rPr>
      </w:pPr>
      <w:r w:rsidRPr="000C27C4">
        <w:rPr>
          <w:rFonts w:cs="Arial"/>
          <w:b/>
          <w:bCs/>
          <w:iCs/>
        </w:rPr>
        <w:t>Indicator with specified risk in the risk assessment used</w:t>
      </w:r>
      <w:r w:rsidR="00EC24CB">
        <w:rPr>
          <w:rFonts w:cs="Arial"/>
          <w:b/>
          <w:bCs/>
          <w:iCs/>
        </w:rPr>
        <w:t>:</w:t>
      </w:r>
      <w:r w:rsidR="005559E1">
        <w:rPr>
          <w:rFonts w:cs="Arial"/>
          <w:b/>
          <w:bCs/>
          <w:iCs/>
        </w:rPr>
        <w:t xml:space="preserve"> </w:t>
      </w:r>
    </w:p>
    <w:p w14:paraId="1C680FA9" w14:textId="77777777" w:rsidR="005415D2" w:rsidRPr="000C27C4" w:rsidRDefault="00083003">
      <w:pPr>
        <w:rPr>
          <w:rFonts w:cs="Arial"/>
        </w:rPr>
      </w:pPr>
      <w:r w:rsidRPr="000C27C4">
        <w:rPr>
          <w:rFonts w:cs="Arial"/>
        </w:rPr>
        <w:t>2.1.2 The BP has implemented appropriate control systems and procedures to identify and address potential threats to forests and other areas with high conservation values from forest management activities.</w:t>
      </w:r>
    </w:p>
    <w:p w14:paraId="5F2D833C" w14:textId="77777777" w:rsidR="0059791E" w:rsidRDefault="00083003" w:rsidP="0059791E">
      <w:pPr>
        <w:spacing w:after="0"/>
        <w:rPr>
          <w:rFonts w:cs="Arial"/>
          <w:b/>
          <w:bCs/>
          <w:iCs/>
        </w:rPr>
      </w:pPr>
      <w:r w:rsidRPr="000C27C4">
        <w:rPr>
          <w:rFonts w:cs="Arial"/>
          <w:b/>
          <w:bCs/>
          <w:iCs/>
        </w:rPr>
        <w:t>Specific risk description</w:t>
      </w:r>
      <w:r w:rsidR="00EC24CB">
        <w:rPr>
          <w:rFonts w:cs="Arial"/>
          <w:b/>
          <w:bCs/>
          <w:iCs/>
        </w:rPr>
        <w:t>:</w:t>
      </w:r>
    </w:p>
    <w:p w14:paraId="6C6EB61A" w14:textId="77777777" w:rsidR="00000000" w:rsidRDefault="00052066">
      <w:pPr>
        <w:spacing w:line="260" w:lineRule="atLeast"/>
        <w:divId w:val="1880048710"/>
        <w:rPr>
          <w:rFonts w:eastAsia="Times New Roman" w:cs="Arial"/>
          <w:spacing w:val="1"/>
        </w:rPr>
      </w:pPr>
      <w:r>
        <w:rPr>
          <w:rFonts w:eastAsia="Times New Roman" w:cs="Arial"/>
          <w:i/>
          <w:iCs/>
          <w:spacing w:val="1"/>
        </w:rPr>
        <w:t> </w:t>
      </w:r>
      <w:r>
        <w:rPr>
          <w:rFonts w:eastAsia="Times New Roman" w:cs="Arial"/>
          <w:spacing w:val="1"/>
        </w:rPr>
        <w:t>In state forest, FSC or PEFC-certified private forest, and in private forests where a WKH contract has been signed, WKH are protected</w:t>
      </w:r>
      <w:r>
        <w:rPr>
          <w:rFonts w:eastAsia="Times New Roman" w:cs="Arial"/>
          <w:spacing w:val="1"/>
        </w:rPr>
        <w:t>.</w:t>
      </w:r>
    </w:p>
    <w:p w14:paraId="6E4CE67F" w14:textId="77777777" w:rsidR="00000000" w:rsidRDefault="00052066">
      <w:pPr>
        <w:spacing w:line="260" w:lineRule="atLeast"/>
        <w:divId w:val="1012297836"/>
        <w:rPr>
          <w:rFonts w:eastAsia="Times New Roman" w:cs="Arial"/>
          <w:spacing w:val="1"/>
        </w:rPr>
      </w:pPr>
      <w:r>
        <w:rPr>
          <w:rFonts w:eastAsia="Times New Roman" w:cs="Arial"/>
          <w:spacing w:val="1"/>
        </w:rPr>
        <w:t xml:space="preserve">The risk level for this indicator in uncertified </w:t>
      </w:r>
      <w:r>
        <w:rPr>
          <w:rFonts w:eastAsia="Times New Roman" w:cs="Arial"/>
          <w:spacing w:val="1"/>
        </w:rPr>
        <w:t>private forest is specified and low for state forest and FSC or PEFC-certified private forest.</w:t>
      </w:r>
    </w:p>
    <w:p w14:paraId="17339B70" w14:textId="77777777" w:rsidR="005415D2" w:rsidRPr="005B5CFF" w:rsidRDefault="00083003">
      <w:pPr>
        <w:spacing w:after="0" w:line="240" w:lineRule="auto"/>
        <w:rPr>
          <w:rFonts w:cs="Arial"/>
          <w:lang w:val="en-US" w:eastAsia="nl-NL"/>
        </w:rPr>
      </w:pPr>
      <w:r w:rsidRPr="005B5CFF">
        <w:rPr>
          <w:rFonts w:cs="Arial"/>
          <w:lang w:val="en-US" w:eastAsia="nl-NL"/>
        </w:rPr>
        <w:t xml:space="preserve"> </w:t>
      </w:r>
    </w:p>
    <w:p w14:paraId="0CBEBDA1" w14:textId="77777777" w:rsidR="005415D2" w:rsidRPr="000C27C4" w:rsidRDefault="005415D2">
      <w:pPr>
        <w:rPr>
          <w:rFonts w:cs="Arial"/>
          <w:b/>
          <w:bCs/>
          <w:iCs/>
        </w:rPr>
      </w:pPr>
    </w:p>
    <w:p w14:paraId="0C7D7566" w14:textId="11BC8656" w:rsidR="005415D2" w:rsidRDefault="00083003" w:rsidP="000C27C4">
      <w:pPr>
        <w:pStyle w:val="Heading2"/>
      </w:pPr>
      <w:bookmarkStart w:id="14" w:name="_Toc412646204"/>
      <w:bookmarkStart w:id="15" w:name="_Toc63846081"/>
      <w:r>
        <w:t>Justification</w:t>
      </w:r>
      <w:bookmarkEnd w:id="14"/>
      <w:bookmarkEnd w:id="15"/>
    </w:p>
    <w:p w14:paraId="0DC9937E" w14:textId="77777777" w:rsidR="00000000" w:rsidRDefault="00052066">
      <w:pPr>
        <w:spacing w:line="260" w:lineRule="atLeast"/>
        <w:divId w:val="836652020"/>
        <w:rPr>
          <w:rFonts w:eastAsia="Times New Roman" w:cs="Arial"/>
          <w:spacing w:val="1"/>
        </w:rPr>
      </w:pPr>
      <w:r>
        <w:rPr>
          <w:rFonts w:eastAsia="Times New Roman" w:cs="Arial"/>
          <w:spacing w:val="1"/>
        </w:rPr>
        <w:t xml:space="preserve">SBP endorsed SBP Regional Risks Assessments have been developed in accordance with SBP standard Nr.1 </w:t>
      </w:r>
      <w:r>
        <w:rPr>
          <w:rFonts w:eastAsia="Times New Roman" w:cs="Arial"/>
          <w:spacing w:val="1"/>
        </w:rPr>
        <w:t>version 1.0 of March 2015 and SBP standard Nr.2   version 1.0 of March 2015, assessing the risk category for each SBP indicator. Through reviewing and assessing the risk, the company acquired an in-depth understanding of the wood supply risks that could af</w:t>
      </w:r>
      <w:r>
        <w:rPr>
          <w:rFonts w:eastAsia="Times New Roman" w:cs="Arial"/>
          <w:spacing w:val="1"/>
        </w:rPr>
        <w:t>fect the acceptance of SBP non-compliant material for biomass production</w:t>
      </w:r>
      <w:r>
        <w:rPr>
          <w:rFonts w:eastAsia="Times New Roman" w:cs="Arial"/>
          <w:spacing w:val="1"/>
        </w:rPr>
        <w:t>.</w:t>
      </w:r>
    </w:p>
    <w:p w14:paraId="092BEEB1" w14:textId="77777777" w:rsidR="00000000" w:rsidRDefault="00052066">
      <w:pPr>
        <w:spacing w:line="260" w:lineRule="atLeast"/>
        <w:divId w:val="1675835221"/>
        <w:rPr>
          <w:rFonts w:eastAsia="Times New Roman" w:cs="Arial"/>
          <w:spacing w:val="1"/>
        </w:rPr>
      </w:pPr>
      <w:r>
        <w:rPr>
          <w:rFonts w:eastAsia="Times New Roman" w:cs="Arial"/>
          <w:spacing w:val="1"/>
        </w:rPr>
        <w:t>By introducing efficient risk mitigation measures, the company has the option to purchase SBP approved and compliant assortment to produce the required amount of “SBP compliant bioma</w:t>
      </w:r>
      <w:r>
        <w:rPr>
          <w:rFonts w:eastAsia="Times New Roman" w:cs="Arial"/>
          <w:spacing w:val="1"/>
        </w:rPr>
        <w:t>ss” products</w:t>
      </w:r>
      <w:r>
        <w:rPr>
          <w:rFonts w:eastAsia="Times New Roman" w:cs="Arial"/>
          <w:spacing w:val="1"/>
        </w:rPr>
        <w:t>.</w:t>
      </w:r>
    </w:p>
    <w:p w14:paraId="7570AC54" w14:textId="77777777" w:rsidR="00000000" w:rsidRDefault="00052066">
      <w:pPr>
        <w:spacing w:line="260" w:lineRule="atLeast"/>
        <w:divId w:val="1114784544"/>
        <w:rPr>
          <w:rFonts w:eastAsia="Times New Roman" w:cs="Arial"/>
          <w:spacing w:val="1"/>
        </w:rPr>
      </w:pPr>
      <w:r>
        <w:rPr>
          <w:rFonts w:eastAsia="Times New Roman" w:cs="Arial"/>
          <w:spacing w:val="1"/>
        </w:rPr>
        <w:t xml:space="preserve">SIA PATA as forest company with 20 years </w:t>
      </w:r>
      <w:proofErr w:type="spellStart"/>
      <w:r>
        <w:rPr>
          <w:rFonts w:eastAsia="Times New Roman" w:cs="Arial"/>
          <w:spacing w:val="1"/>
        </w:rPr>
        <w:t>expierence</w:t>
      </w:r>
      <w:proofErr w:type="spellEnd"/>
      <w:r>
        <w:rPr>
          <w:rFonts w:eastAsia="Times New Roman" w:cs="Arial"/>
          <w:spacing w:val="1"/>
        </w:rPr>
        <w:t>, integrating leading expertise in forest industry, has developed risk mitigation and control mechanism for the evaluation and confirmation of its biomass which comply with the “SBP compliant</w:t>
      </w:r>
      <w:r>
        <w:rPr>
          <w:rFonts w:eastAsia="Times New Roman" w:cs="Arial"/>
          <w:spacing w:val="1"/>
        </w:rPr>
        <w:t xml:space="preserve"> biomass” status</w:t>
      </w:r>
      <w:r>
        <w:rPr>
          <w:rFonts w:eastAsia="Times New Roman" w:cs="Arial"/>
          <w:spacing w:val="1"/>
        </w:rPr>
        <w:t>.</w:t>
      </w:r>
    </w:p>
    <w:p w14:paraId="7E8FFCE9" w14:textId="77777777" w:rsidR="00000000" w:rsidRDefault="00052066">
      <w:pPr>
        <w:spacing w:line="260" w:lineRule="atLeast"/>
        <w:divId w:val="843980114"/>
        <w:rPr>
          <w:rFonts w:eastAsia="Times New Roman" w:cs="Arial"/>
          <w:spacing w:val="1"/>
        </w:rPr>
      </w:pPr>
      <w:r>
        <w:rPr>
          <w:rFonts w:eastAsia="Times New Roman" w:cs="Arial"/>
          <w:i/>
          <w:iCs/>
          <w:spacing w:val="1"/>
        </w:rPr>
        <w:t> </w:t>
      </w:r>
    </w:p>
    <w:p w14:paraId="571F3ED9" w14:textId="7F850455" w:rsidR="005415D2" w:rsidRDefault="00083003" w:rsidP="000C27C4">
      <w:pPr>
        <w:pStyle w:val="Heading2"/>
      </w:pPr>
      <w:bookmarkStart w:id="16" w:name="_Toc412646205"/>
      <w:bookmarkStart w:id="17" w:name="_Toc63846082"/>
      <w:r>
        <w:t xml:space="preserve">Results of </w:t>
      </w:r>
      <w:r w:rsidR="007A2025">
        <w:t>r</w:t>
      </w:r>
      <w:r>
        <w:t xml:space="preserve">isk </w:t>
      </w:r>
      <w:r w:rsidR="007A2025">
        <w:t>a</w:t>
      </w:r>
      <w:r>
        <w:t>ssessment and Supplier Verification Programme</w:t>
      </w:r>
      <w:bookmarkEnd w:id="16"/>
      <w:bookmarkEnd w:id="17"/>
    </w:p>
    <w:p w14:paraId="1B332646" w14:textId="77777777" w:rsidR="00000000" w:rsidRDefault="00052066">
      <w:pPr>
        <w:spacing w:line="260" w:lineRule="atLeast"/>
        <w:divId w:val="1961183235"/>
        <w:rPr>
          <w:rFonts w:eastAsia="Times New Roman" w:cs="Arial"/>
          <w:spacing w:val="1"/>
        </w:rPr>
      </w:pPr>
      <w:r>
        <w:rPr>
          <w:rFonts w:eastAsia="Times New Roman" w:cs="Arial"/>
          <w:spacing w:val="1"/>
        </w:rPr>
        <w:t xml:space="preserve">Taking into account the </w:t>
      </w:r>
      <w:proofErr w:type="spellStart"/>
      <w:r>
        <w:rPr>
          <w:rFonts w:eastAsia="Times New Roman" w:cs="Arial"/>
          <w:spacing w:val="1"/>
        </w:rPr>
        <w:t>specifik</w:t>
      </w:r>
      <w:proofErr w:type="spellEnd"/>
      <w:r>
        <w:rPr>
          <w:rFonts w:eastAsia="Times New Roman" w:cs="Arial"/>
          <w:spacing w:val="1"/>
        </w:rPr>
        <w:t xml:space="preserve"> characters of Latvia and expert advice and recommendations, “specified </w:t>
      </w:r>
      <w:r>
        <w:rPr>
          <w:rFonts w:eastAsia="Times New Roman" w:cs="Arial"/>
          <w:spacing w:val="1"/>
        </w:rPr>
        <w:t xml:space="preserve">risk” was applied in relation to identification and protection of EU importance and natural forest habitats, bird species, identification and protection of cultural heritage objects (HCV category 3) in non-certificate forests and work </w:t>
      </w:r>
      <w:proofErr w:type="gramStart"/>
      <w:r>
        <w:rPr>
          <w:rFonts w:eastAsia="Times New Roman" w:cs="Arial"/>
          <w:spacing w:val="1"/>
        </w:rPr>
        <w:t>safety( if</w:t>
      </w:r>
      <w:proofErr w:type="gramEnd"/>
      <w:r>
        <w:rPr>
          <w:rFonts w:eastAsia="Times New Roman" w:cs="Arial"/>
          <w:spacing w:val="1"/>
        </w:rPr>
        <w:t xml:space="preserve"> work with </w:t>
      </w:r>
      <w:r>
        <w:rPr>
          <w:rFonts w:eastAsia="Times New Roman" w:cs="Arial"/>
          <w:spacing w:val="1"/>
        </w:rPr>
        <w:t>chainsaw  in non-certificate forests)</w:t>
      </w:r>
      <w:r>
        <w:rPr>
          <w:rFonts w:eastAsia="Times New Roman" w:cs="Arial"/>
          <w:spacing w:val="1"/>
        </w:rPr>
        <w:t>.</w:t>
      </w:r>
    </w:p>
    <w:p w14:paraId="14500AAC" w14:textId="77777777" w:rsidR="00000000" w:rsidRDefault="00052066">
      <w:pPr>
        <w:spacing w:line="260" w:lineRule="atLeast"/>
        <w:divId w:val="730350576"/>
        <w:rPr>
          <w:rFonts w:eastAsia="Times New Roman" w:cs="Arial"/>
          <w:spacing w:val="1"/>
        </w:rPr>
      </w:pPr>
      <w:r>
        <w:rPr>
          <w:rFonts w:eastAsia="Times New Roman" w:cs="Arial"/>
          <w:spacing w:val="1"/>
        </w:rPr>
        <w:t> </w:t>
      </w:r>
    </w:p>
    <w:p w14:paraId="5DB627A6" w14:textId="77777777" w:rsidR="00000000" w:rsidRDefault="00052066">
      <w:pPr>
        <w:spacing w:line="260" w:lineRule="atLeast"/>
        <w:divId w:val="1826624009"/>
        <w:rPr>
          <w:rFonts w:eastAsia="Times New Roman" w:cs="Arial"/>
          <w:spacing w:val="1"/>
        </w:rPr>
      </w:pPr>
      <w:r>
        <w:rPr>
          <w:rFonts w:eastAsia="Times New Roman" w:cs="Arial"/>
          <w:spacing w:val="1"/>
        </w:rPr>
        <w:t>In Estonia “specified risk” was applied only to biotope protection in non-certificate private forests</w:t>
      </w:r>
      <w:r>
        <w:rPr>
          <w:rFonts w:eastAsia="Times New Roman" w:cs="Arial"/>
          <w:spacing w:val="1"/>
        </w:rPr>
        <w:t>.</w:t>
      </w:r>
    </w:p>
    <w:p w14:paraId="301BE9DE" w14:textId="77777777" w:rsidR="00000000" w:rsidRDefault="00052066">
      <w:pPr>
        <w:spacing w:line="260" w:lineRule="atLeast"/>
        <w:divId w:val="29258315"/>
        <w:rPr>
          <w:rFonts w:eastAsia="Times New Roman" w:cs="Arial"/>
          <w:spacing w:val="1"/>
        </w:rPr>
      </w:pPr>
      <w:r>
        <w:rPr>
          <w:rFonts w:eastAsia="Times New Roman" w:cs="Arial"/>
          <w:spacing w:val="1"/>
        </w:rPr>
        <w:t> </w:t>
      </w:r>
    </w:p>
    <w:p w14:paraId="39E7A5F7" w14:textId="77777777" w:rsidR="00000000" w:rsidRDefault="00052066">
      <w:pPr>
        <w:spacing w:line="260" w:lineRule="atLeast"/>
        <w:divId w:val="1489436879"/>
        <w:rPr>
          <w:rFonts w:eastAsia="Times New Roman" w:cs="Arial"/>
          <w:spacing w:val="1"/>
        </w:rPr>
      </w:pPr>
      <w:r>
        <w:rPr>
          <w:rFonts w:eastAsia="Times New Roman" w:cs="Arial"/>
          <w:spacing w:val="1"/>
        </w:rPr>
        <w:t>In Lithuania “specified risk” was applied to biotope protection and work safety in private forests</w:t>
      </w:r>
      <w:r>
        <w:rPr>
          <w:rFonts w:eastAsia="Times New Roman" w:cs="Arial"/>
          <w:spacing w:val="1"/>
        </w:rPr>
        <w:t>.</w:t>
      </w:r>
    </w:p>
    <w:p w14:paraId="06D6D70A" w14:textId="77777777" w:rsidR="00000000" w:rsidRDefault="00052066">
      <w:pPr>
        <w:spacing w:line="260" w:lineRule="atLeast"/>
        <w:divId w:val="2118331240"/>
        <w:rPr>
          <w:rFonts w:eastAsia="Times New Roman" w:cs="Arial"/>
          <w:spacing w:val="1"/>
        </w:rPr>
      </w:pPr>
      <w:r>
        <w:rPr>
          <w:rFonts w:eastAsia="Times New Roman" w:cs="Arial"/>
          <w:i/>
          <w:iCs/>
          <w:spacing w:val="1"/>
        </w:rPr>
        <w:t> </w:t>
      </w:r>
    </w:p>
    <w:p w14:paraId="7B045A18" w14:textId="77777777" w:rsidR="00000000" w:rsidRDefault="00052066">
      <w:pPr>
        <w:spacing w:line="260" w:lineRule="atLeast"/>
        <w:divId w:val="1495684789"/>
        <w:rPr>
          <w:rFonts w:eastAsia="Times New Roman" w:cs="Arial"/>
          <w:spacing w:val="1"/>
        </w:rPr>
      </w:pPr>
      <w:r>
        <w:rPr>
          <w:rFonts w:eastAsia="Times New Roman" w:cs="Arial"/>
          <w:spacing w:val="1"/>
        </w:rPr>
        <w:t>Supplier</w:t>
      </w:r>
      <w:r>
        <w:rPr>
          <w:rFonts w:eastAsia="Times New Roman" w:cs="Arial"/>
          <w:spacing w:val="1"/>
        </w:rPr>
        <w:t xml:space="preserve"> Verification Programme does not apply in PATA case, since we did not identify “unspecified risk” in PATA Supply Base Evaluation</w:t>
      </w:r>
      <w:r>
        <w:rPr>
          <w:rFonts w:eastAsia="Times New Roman" w:cs="Arial"/>
          <w:spacing w:val="1"/>
        </w:rPr>
        <w:t>.</w:t>
      </w:r>
    </w:p>
    <w:p w14:paraId="74F9BD14" w14:textId="6732EC5B" w:rsidR="005415D2" w:rsidRDefault="00083003" w:rsidP="000C27C4">
      <w:pPr>
        <w:pStyle w:val="Heading2"/>
      </w:pPr>
      <w:bookmarkStart w:id="18" w:name="_Toc412646207"/>
      <w:bookmarkStart w:id="19" w:name="_Toc63846083"/>
      <w:r>
        <w:t>Conclusion</w:t>
      </w:r>
      <w:bookmarkEnd w:id="18"/>
      <w:bookmarkEnd w:id="19"/>
    </w:p>
    <w:p w14:paraId="6A8A7E47" w14:textId="77777777" w:rsidR="00000000" w:rsidRDefault="00052066">
      <w:pPr>
        <w:spacing w:line="260" w:lineRule="atLeast"/>
        <w:divId w:val="1895848135"/>
        <w:rPr>
          <w:rFonts w:eastAsia="Times New Roman" w:cs="Arial"/>
          <w:spacing w:val="1"/>
        </w:rPr>
      </w:pPr>
      <w:r>
        <w:rPr>
          <w:rFonts w:eastAsia="Times New Roman" w:cs="Arial"/>
          <w:spacing w:val="1"/>
        </w:rPr>
        <w:t xml:space="preserve">Since </w:t>
      </w:r>
      <w:proofErr w:type="spellStart"/>
      <w:r>
        <w:rPr>
          <w:rFonts w:eastAsia="Times New Roman" w:cs="Arial"/>
          <w:spacing w:val="1"/>
        </w:rPr>
        <w:t>Juny</w:t>
      </w:r>
      <w:proofErr w:type="spellEnd"/>
      <w:r>
        <w:rPr>
          <w:rFonts w:eastAsia="Times New Roman" w:cs="Arial"/>
          <w:spacing w:val="1"/>
        </w:rPr>
        <w:t xml:space="preserve"> 1, 2018 when the requirements of SBE </w:t>
      </w:r>
      <w:proofErr w:type="spellStart"/>
      <w:r>
        <w:rPr>
          <w:rFonts w:eastAsia="Times New Roman" w:cs="Arial"/>
          <w:spacing w:val="1"/>
        </w:rPr>
        <w:t>standarts</w:t>
      </w:r>
      <w:proofErr w:type="spellEnd"/>
      <w:r>
        <w:rPr>
          <w:rFonts w:eastAsia="Times New Roman" w:cs="Arial"/>
          <w:spacing w:val="1"/>
        </w:rPr>
        <w:t xml:space="preserve"> were initiated and introduced, the compliance </w:t>
      </w:r>
      <w:r>
        <w:rPr>
          <w:rFonts w:eastAsia="Times New Roman" w:cs="Arial"/>
          <w:spacing w:val="1"/>
        </w:rPr>
        <w:t xml:space="preserve">of feedstock suppliers to specific risks was reviewed. The suppliers who are informed and competent on assessment of possible risks, but who are not certified by requirements of PEFC or FSC </w:t>
      </w:r>
      <w:proofErr w:type="spellStart"/>
      <w:r>
        <w:rPr>
          <w:rFonts w:eastAsia="Times New Roman" w:cs="Arial"/>
          <w:spacing w:val="1"/>
        </w:rPr>
        <w:t>standarts</w:t>
      </w:r>
      <w:proofErr w:type="spellEnd"/>
      <w:r>
        <w:rPr>
          <w:rFonts w:eastAsia="Times New Roman" w:cs="Arial"/>
          <w:spacing w:val="1"/>
        </w:rPr>
        <w:t>, are approved as SBP wood suppliers</w:t>
      </w:r>
      <w:r>
        <w:rPr>
          <w:rFonts w:eastAsia="Times New Roman" w:cs="Arial"/>
          <w:spacing w:val="1"/>
        </w:rPr>
        <w:t>.</w:t>
      </w:r>
    </w:p>
    <w:p w14:paraId="5E1B5803" w14:textId="77777777" w:rsidR="00000000" w:rsidRDefault="00052066">
      <w:pPr>
        <w:spacing w:line="260" w:lineRule="atLeast"/>
        <w:divId w:val="1527987420"/>
        <w:rPr>
          <w:rFonts w:eastAsia="Times New Roman" w:cs="Arial"/>
          <w:spacing w:val="1"/>
        </w:rPr>
      </w:pPr>
      <w:r>
        <w:rPr>
          <w:rFonts w:eastAsia="Times New Roman" w:cs="Arial"/>
          <w:spacing w:val="1"/>
        </w:rPr>
        <w:t>The volume of FSC o</w:t>
      </w:r>
      <w:r>
        <w:rPr>
          <w:rFonts w:eastAsia="Times New Roman" w:cs="Arial"/>
          <w:spacing w:val="1"/>
        </w:rPr>
        <w:t>r PEFC certified wood is not enough to ensure that 100% of the biomass is a “SBP compliant biomass”</w:t>
      </w:r>
      <w:r>
        <w:rPr>
          <w:rFonts w:eastAsia="Times New Roman" w:cs="Arial"/>
          <w:spacing w:val="1"/>
        </w:rPr>
        <w:t>.</w:t>
      </w:r>
    </w:p>
    <w:p w14:paraId="5A0C4C58" w14:textId="77777777" w:rsidR="00000000" w:rsidRDefault="00052066">
      <w:pPr>
        <w:spacing w:line="260" w:lineRule="atLeast"/>
        <w:divId w:val="1367675080"/>
        <w:rPr>
          <w:rFonts w:eastAsia="Times New Roman" w:cs="Arial"/>
          <w:spacing w:val="1"/>
        </w:rPr>
      </w:pPr>
      <w:r>
        <w:rPr>
          <w:rFonts w:eastAsia="Times New Roman" w:cs="Arial"/>
          <w:spacing w:val="1"/>
        </w:rPr>
        <w:t xml:space="preserve">As a result of risk mitigation measures, SIA PATA has confirmed that the suppliers who logging round wood at </w:t>
      </w:r>
      <w:proofErr w:type="spellStart"/>
      <w:r>
        <w:rPr>
          <w:rFonts w:eastAsia="Times New Roman" w:cs="Arial"/>
          <w:spacing w:val="1"/>
        </w:rPr>
        <w:t>self own</w:t>
      </w:r>
      <w:proofErr w:type="spellEnd"/>
      <w:r>
        <w:rPr>
          <w:rFonts w:eastAsia="Times New Roman" w:cs="Arial"/>
          <w:spacing w:val="1"/>
        </w:rPr>
        <w:t xml:space="preserve"> or other own forests and hand in all </w:t>
      </w:r>
      <w:r>
        <w:rPr>
          <w:rFonts w:eastAsia="Times New Roman" w:cs="Arial"/>
          <w:spacing w:val="1"/>
        </w:rPr>
        <w:t>requested information, can be provided risk mitigation measures and conform to SBE low-risk category at supply level</w:t>
      </w:r>
      <w:r>
        <w:rPr>
          <w:rFonts w:eastAsia="Times New Roman" w:cs="Arial"/>
          <w:spacing w:val="1"/>
        </w:rPr>
        <w:t>.</w:t>
      </w:r>
    </w:p>
    <w:p w14:paraId="0AC01CD8" w14:textId="12B0FD6A" w:rsidR="005415D2" w:rsidRDefault="00083003" w:rsidP="00AF3063">
      <w:pPr>
        <w:pStyle w:val="Heading1"/>
      </w:pPr>
      <w:bookmarkStart w:id="20" w:name="_Toc412646208"/>
      <w:bookmarkStart w:id="21" w:name="_Toc63846084"/>
      <w:r>
        <w:lastRenderedPageBreak/>
        <w:t>Supply Base Evaluation process</w:t>
      </w:r>
      <w:bookmarkEnd w:id="20"/>
      <w:bookmarkEnd w:id="21"/>
    </w:p>
    <w:p w14:paraId="4B350E64" w14:textId="77777777" w:rsidR="00000000" w:rsidRDefault="00052066">
      <w:pPr>
        <w:spacing w:line="260" w:lineRule="atLeast"/>
        <w:divId w:val="618221863"/>
        <w:rPr>
          <w:rFonts w:eastAsia="Times New Roman" w:cs="Arial"/>
          <w:spacing w:val="1"/>
        </w:rPr>
      </w:pPr>
      <w:r>
        <w:rPr>
          <w:rFonts w:eastAsia="Times New Roman" w:cs="Arial"/>
          <w:spacing w:val="1"/>
        </w:rPr>
        <w:t xml:space="preserve">SIA PATA “SBP compliant </w:t>
      </w:r>
      <w:proofErr w:type="spellStart"/>
      <w:r>
        <w:rPr>
          <w:rFonts w:eastAsia="Times New Roman" w:cs="Arial"/>
          <w:spacing w:val="1"/>
        </w:rPr>
        <w:t>biomas</w:t>
      </w:r>
      <w:proofErr w:type="spellEnd"/>
      <w:r>
        <w:rPr>
          <w:rFonts w:eastAsia="Times New Roman" w:cs="Arial"/>
          <w:spacing w:val="1"/>
        </w:rPr>
        <w:t xml:space="preserve">” assessment refers to supplies from Latvia, Lithuania and Estonia, and obtaining of biomass </w:t>
      </w:r>
      <w:proofErr w:type="gramStart"/>
      <w:r>
        <w:rPr>
          <w:rFonts w:eastAsia="Times New Roman" w:cs="Arial"/>
          <w:spacing w:val="1"/>
        </w:rPr>
        <w:t xml:space="preserve">from </w:t>
      </w:r>
      <w:r>
        <w:rPr>
          <w:rFonts w:eastAsia="Times New Roman" w:cs="Arial"/>
          <w:spacing w:val="1"/>
        </w:rPr>
        <w:t>:</w:t>
      </w:r>
      <w:proofErr w:type="gramEnd"/>
    </w:p>
    <w:p w14:paraId="4D75F575" w14:textId="77777777" w:rsidR="00000000" w:rsidRDefault="00052066">
      <w:pPr>
        <w:spacing w:line="260" w:lineRule="atLeast"/>
        <w:divId w:val="1827670280"/>
        <w:rPr>
          <w:rFonts w:eastAsia="Times New Roman" w:cs="Arial"/>
          <w:spacing w:val="1"/>
        </w:rPr>
      </w:pPr>
      <w:r>
        <w:rPr>
          <w:rFonts w:eastAsia="Times New Roman" w:cs="Arial"/>
          <w:spacing w:val="1"/>
        </w:rPr>
        <w:t>·         SBP-approved forestry certification scheme</w:t>
      </w:r>
      <w:r>
        <w:rPr>
          <w:rFonts w:eastAsia="Times New Roman" w:cs="Arial"/>
          <w:spacing w:val="1"/>
        </w:rPr>
        <w:t>;</w:t>
      </w:r>
    </w:p>
    <w:p w14:paraId="41566F42" w14:textId="77777777" w:rsidR="00000000" w:rsidRDefault="00052066">
      <w:pPr>
        <w:spacing w:line="260" w:lineRule="atLeast"/>
        <w:divId w:val="78020537"/>
        <w:rPr>
          <w:rFonts w:eastAsia="Times New Roman" w:cs="Arial"/>
          <w:spacing w:val="1"/>
        </w:rPr>
      </w:pPr>
      <w:r>
        <w:rPr>
          <w:rFonts w:eastAsia="Times New Roman" w:cs="Arial"/>
          <w:spacing w:val="1"/>
        </w:rPr>
        <w:t xml:space="preserve">·         </w:t>
      </w:r>
      <w:r>
        <w:rPr>
          <w:rFonts w:eastAsia="Times New Roman" w:cs="Arial"/>
          <w:spacing w:val="1"/>
        </w:rPr>
        <w:t>SBP-approved supply chain (CoC) system</w:t>
      </w:r>
      <w:r>
        <w:rPr>
          <w:rFonts w:eastAsia="Times New Roman" w:cs="Arial"/>
          <w:spacing w:val="1"/>
        </w:rPr>
        <w:t>;</w:t>
      </w:r>
    </w:p>
    <w:p w14:paraId="2BF70414" w14:textId="77777777" w:rsidR="00000000" w:rsidRDefault="00052066">
      <w:pPr>
        <w:spacing w:line="260" w:lineRule="atLeast"/>
        <w:divId w:val="2127701295"/>
        <w:rPr>
          <w:rFonts w:eastAsia="Times New Roman" w:cs="Arial"/>
          <w:spacing w:val="1"/>
        </w:rPr>
      </w:pPr>
      <w:r>
        <w:rPr>
          <w:rFonts w:eastAsia="Times New Roman" w:cs="Arial"/>
          <w:spacing w:val="1"/>
        </w:rPr>
        <w:t>·         SBP low risk feedstocks sourced within SBE system</w:t>
      </w:r>
      <w:r>
        <w:rPr>
          <w:rFonts w:eastAsia="Times New Roman" w:cs="Arial"/>
          <w:spacing w:val="1"/>
        </w:rPr>
        <w:t>.</w:t>
      </w:r>
    </w:p>
    <w:p w14:paraId="3E644995" w14:textId="77777777" w:rsidR="00000000" w:rsidRDefault="00052066">
      <w:pPr>
        <w:spacing w:line="260" w:lineRule="atLeast"/>
        <w:divId w:val="17246299"/>
        <w:rPr>
          <w:rFonts w:eastAsia="Times New Roman" w:cs="Arial"/>
          <w:spacing w:val="1"/>
        </w:rPr>
      </w:pPr>
      <w:r>
        <w:rPr>
          <w:rFonts w:eastAsia="Times New Roman" w:cs="Arial"/>
          <w:spacing w:val="1"/>
        </w:rPr>
        <w:t>The company has developed and implemented a risk mitigation procedure where the identified risk mitigation measures and tools are described</w:t>
      </w:r>
      <w:r>
        <w:rPr>
          <w:rFonts w:eastAsia="Times New Roman" w:cs="Arial"/>
          <w:spacing w:val="1"/>
        </w:rPr>
        <w:t>.</w:t>
      </w:r>
    </w:p>
    <w:p w14:paraId="2867BC8F" w14:textId="77777777" w:rsidR="00000000" w:rsidRDefault="00052066">
      <w:pPr>
        <w:spacing w:line="260" w:lineRule="atLeast"/>
        <w:divId w:val="989212894"/>
        <w:rPr>
          <w:rFonts w:eastAsia="Times New Roman" w:cs="Arial"/>
          <w:spacing w:val="1"/>
        </w:rPr>
      </w:pPr>
      <w:r>
        <w:rPr>
          <w:rFonts w:eastAsia="Times New Roman" w:cs="Arial"/>
          <w:spacing w:val="1"/>
        </w:rPr>
        <w:t>Checking quest</w:t>
      </w:r>
      <w:r>
        <w:rPr>
          <w:rFonts w:eastAsia="Times New Roman" w:cs="Arial"/>
          <w:spacing w:val="1"/>
        </w:rPr>
        <w:t>ionnaires to each specified risk indicator were designed and applied to objectively assess and obtain all information on each wood extraction site, which is approved as “SBP compliant biomass” or “SBP compliant feedstock”</w:t>
      </w:r>
      <w:r>
        <w:rPr>
          <w:rFonts w:eastAsia="Times New Roman" w:cs="Arial"/>
          <w:spacing w:val="1"/>
        </w:rPr>
        <w:t>.</w:t>
      </w:r>
    </w:p>
    <w:p w14:paraId="2EB99537" w14:textId="77777777" w:rsidR="00000000" w:rsidRDefault="00052066">
      <w:pPr>
        <w:spacing w:line="260" w:lineRule="atLeast"/>
        <w:divId w:val="962927677"/>
        <w:rPr>
          <w:rFonts w:eastAsia="Times New Roman" w:cs="Arial"/>
          <w:spacing w:val="1"/>
        </w:rPr>
      </w:pPr>
      <w:r>
        <w:rPr>
          <w:rFonts w:eastAsia="Times New Roman" w:cs="Arial"/>
          <w:spacing w:val="1"/>
        </w:rPr>
        <w:t>Check frequency and plan is desig</w:t>
      </w:r>
      <w:r>
        <w:rPr>
          <w:rFonts w:eastAsia="Times New Roman" w:cs="Arial"/>
          <w:spacing w:val="1"/>
        </w:rPr>
        <w:t>ned so that all suppliers are checked one time per year.</w:t>
      </w:r>
    </w:p>
    <w:p w14:paraId="209E1B9A" w14:textId="77777777" w:rsidR="00000000" w:rsidRDefault="00052066">
      <w:pPr>
        <w:spacing w:line="260" w:lineRule="atLeast"/>
        <w:divId w:val="1833522517"/>
        <w:rPr>
          <w:rFonts w:eastAsia="Times New Roman" w:cs="Arial"/>
          <w:spacing w:val="1"/>
        </w:rPr>
      </w:pPr>
      <w:r>
        <w:rPr>
          <w:rFonts w:eastAsia="Times New Roman" w:cs="Arial"/>
          <w:spacing w:val="1"/>
        </w:rPr>
        <w:t>Approved suppliers cutting places are checked by OZOLS data base - https://www.daba.gov.lv/public/lat/dati1/dabas_datu_parvaldibas_sistema_ozols/ (in Latvia); http://register.metsad.ee and https://ee</w:t>
      </w:r>
      <w:r>
        <w:rPr>
          <w:rFonts w:eastAsia="Times New Roman" w:cs="Arial"/>
          <w:spacing w:val="1"/>
        </w:rPr>
        <w:t xml:space="preserve">.fsc.org/ee-ee/fsc-sertimine/kontrollitud-puit/vaeaeriselupaigad </w:t>
      </w:r>
      <w:proofErr w:type="spellStart"/>
      <w:r>
        <w:rPr>
          <w:rFonts w:eastAsia="Times New Roman" w:cs="Arial"/>
          <w:spacing w:val="1"/>
        </w:rPr>
        <w:t>and</w:t>
      </w:r>
      <w:proofErr w:type="spellEnd"/>
      <w:r>
        <w:rPr>
          <w:rFonts w:eastAsia="Times New Roman" w:cs="Arial"/>
          <w:spacing w:val="1"/>
        </w:rPr>
        <w:t xml:space="preserve"> https://hiiepaik.maps.arcgis.com/apps/webappviewer/index.html?id=09558607d1dd4c07acc46c338b2196ac (in Estonia) - private forest owners can sign contract with the state and protect WKH or </w:t>
      </w:r>
      <w:r>
        <w:rPr>
          <w:rFonts w:eastAsia="Times New Roman" w:cs="Arial"/>
          <w:spacing w:val="1"/>
        </w:rPr>
        <w:t>each time before felling forest owners determine the location of WKH</w:t>
      </w:r>
      <w:r>
        <w:rPr>
          <w:rFonts w:eastAsia="Times New Roman" w:cs="Arial"/>
          <w:spacing w:val="1"/>
        </w:rPr>
        <w:t>;</w:t>
      </w:r>
    </w:p>
    <w:p w14:paraId="6C959465" w14:textId="77777777" w:rsidR="00000000" w:rsidRDefault="00052066">
      <w:pPr>
        <w:spacing w:line="260" w:lineRule="atLeast"/>
        <w:divId w:val="1302923090"/>
        <w:rPr>
          <w:rFonts w:eastAsia="Times New Roman" w:cs="Arial"/>
          <w:spacing w:val="1"/>
        </w:rPr>
      </w:pPr>
      <w:r>
        <w:rPr>
          <w:rFonts w:eastAsia="Times New Roman" w:cs="Arial"/>
          <w:spacing w:val="1"/>
        </w:rPr>
        <w:t> www.geoportal.lt www.natura2000info.lt (in Lithuania) – in Lithuania natural forest habitats and WKH designated as Natura 2000 sites at the EU level or biosphere polygons at the nationa</w:t>
      </w:r>
      <w:r>
        <w:rPr>
          <w:rFonts w:eastAsia="Times New Roman" w:cs="Arial"/>
          <w:spacing w:val="1"/>
        </w:rPr>
        <w:t>l level</w:t>
      </w:r>
      <w:r>
        <w:rPr>
          <w:rFonts w:eastAsia="Times New Roman" w:cs="Arial"/>
          <w:spacing w:val="1"/>
        </w:rPr>
        <w:t>.</w:t>
      </w:r>
    </w:p>
    <w:p w14:paraId="416AE266" w14:textId="77777777" w:rsidR="00000000" w:rsidRDefault="00052066">
      <w:pPr>
        <w:spacing w:line="260" w:lineRule="atLeast"/>
        <w:divId w:val="1600675388"/>
        <w:rPr>
          <w:rFonts w:eastAsia="Times New Roman" w:cs="Arial"/>
          <w:spacing w:val="1"/>
        </w:rPr>
      </w:pPr>
      <w:r>
        <w:rPr>
          <w:rFonts w:eastAsia="Times New Roman" w:cs="Arial"/>
          <w:spacing w:val="1"/>
        </w:rPr>
        <w:t xml:space="preserve"> Checking </w:t>
      </w:r>
      <w:proofErr w:type="gramStart"/>
      <w:r>
        <w:rPr>
          <w:rFonts w:eastAsia="Times New Roman" w:cs="Arial"/>
          <w:spacing w:val="1"/>
        </w:rPr>
        <w:t>are</w:t>
      </w:r>
      <w:proofErr w:type="gramEnd"/>
      <w:r>
        <w:rPr>
          <w:rFonts w:eastAsia="Times New Roman" w:cs="Arial"/>
          <w:spacing w:val="1"/>
        </w:rPr>
        <w:t xml:space="preserve"> performed prior to logging. The checking procedure is available at the company only by request, taking into account confidentiality, and is discussed with interested parties to improve it effectively</w:t>
      </w:r>
      <w:r>
        <w:rPr>
          <w:rFonts w:eastAsia="Times New Roman" w:cs="Arial"/>
          <w:spacing w:val="1"/>
        </w:rPr>
        <w:t>.</w:t>
      </w:r>
    </w:p>
    <w:p w14:paraId="3C7C38B3" w14:textId="77777777" w:rsidR="00000000" w:rsidRDefault="00052066">
      <w:pPr>
        <w:spacing w:line="260" w:lineRule="atLeast"/>
        <w:divId w:val="1033455929"/>
        <w:rPr>
          <w:rFonts w:eastAsia="Times New Roman" w:cs="Arial"/>
          <w:spacing w:val="1"/>
        </w:rPr>
      </w:pPr>
      <w:r>
        <w:rPr>
          <w:rFonts w:eastAsia="Times New Roman" w:cs="Arial"/>
          <w:spacing w:val="1"/>
        </w:rPr>
        <w:t>As the basis for the establishme</w:t>
      </w:r>
      <w:r>
        <w:rPr>
          <w:rFonts w:eastAsia="Times New Roman" w:cs="Arial"/>
          <w:spacing w:val="1"/>
        </w:rPr>
        <w:t xml:space="preserve">nt of the SBP and SBE risk mitigation system, there were taken requirements of the PEFC Supply chain certification system </w:t>
      </w:r>
      <w:proofErr w:type="spellStart"/>
      <w:r>
        <w:rPr>
          <w:rFonts w:eastAsia="Times New Roman" w:cs="Arial"/>
          <w:spacing w:val="1"/>
        </w:rPr>
        <w:t>standarts</w:t>
      </w:r>
      <w:proofErr w:type="spellEnd"/>
      <w:r>
        <w:rPr>
          <w:rFonts w:eastAsia="Times New Roman" w:cs="Arial"/>
          <w:spacing w:val="1"/>
        </w:rPr>
        <w:t>, staff competence in the wood supply chain as well as knowledge in forestry, wood industry and the legality of wood supplies</w:t>
      </w:r>
      <w:r>
        <w:rPr>
          <w:rFonts w:eastAsia="Times New Roman" w:cs="Arial"/>
          <w:spacing w:val="1"/>
        </w:rPr>
        <w:t>.</w:t>
      </w:r>
    </w:p>
    <w:p w14:paraId="56E58413" w14:textId="4DEDF5A8" w:rsidR="005415D2" w:rsidRDefault="00083003" w:rsidP="00AF3063">
      <w:pPr>
        <w:pStyle w:val="Heading1"/>
      </w:pPr>
      <w:bookmarkStart w:id="22" w:name="_Toc412646209"/>
      <w:bookmarkStart w:id="23" w:name="_Toc63846085"/>
      <w:r>
        <w:lastRenderedPageBreak/>
        <w:t>Stakeholder consultation</w:t>
      </w:r>
      <w:bookmarkEnd w:id="22"/>
      <w:bookmarkEnd w:id="23"/>
      <w:r>
        <w:t xml:space="preserve"> </w:t>
      </w:r>
    </w:p>
    <w:p w14:paraId="6DDF6EC5" w14:textId="77777777" w:rsidR="00000000" w:rsidRDefault="00052066">
      <w:pPr>
        <w:spacing w:line="260" w:lineRule="atLeast"/>
        <w:divId w:val="77026505"/>
        <w:rPr>
          <w:rFonts w:eastAsia="Times New Roman" w:cs="Arial"/>
          <w:spacing w:val="1"/>
        </w:rPr>
      </w:pPr>
      <w:r>
        <w:rPr>
          <w:rFonts w:eastAsia="Times New Roman" w:cs="Arial"/>
          <w:spacing w:val="1"/>
        </w:rPr>
        <w:t xml:space="preserve">On 22 April 2022, the company published the SBP risk assessments and the draft SBR on its website. An informative letter was sent electronically to the interested parties on the </w:t>
      </w:r>
      <w:r>
        <w:rPr>
          <w:rFonts w:eastAsia="Times New Roman" w:cs="Arial"/>
          <w:spacing w:val="1"/>
        </w:rPr>
        <w:t>risk assessment and draft SBR. The list of interested parties was created so that it includes the maximum number of recipients that represent economic, social and environmental interests of society, as well as local municipalities. The total number of reci</w:t>
      </w:r>
      <w:r>
        <w:rPr>
          <w:rFonts w:eastAsia="Times New Roman" w:cs="Arial"/>
          <w:spacing w:val="1"/>
        </w:rPr>
        <w:t xml:space="preserve">pients is 57 </w:t>
      </w:r>
      <w:proofErr w:type="gramStart"/>
      <w:r>
        <w:rPr>
          <w:rFonts w:eastAsia="Times New Roman" w:cs="Arial"/>
          <w:spacing w:val="1"/>
        </w:rPr>
        <w:t>correspondent</w:t>
      </w:r>
      <w:proofErr w:type="gramEnd"/>
      <w:r>
        <w:rPr>
          <w:rFonts w:eastAsia="Times New Roman" w:cs="Arial"/>
          <w:spacing w:val="1"/>
        </w:rPr>
        <w:t>.</w:t>
      </w:r>
    </w:p>
    <w:p w14:paraId="2FA96EBC" w14:textId="77777777" w:rsidR="00000000" w:rsidRDefault="00052066">
      <w:pPr>
        <w:spacing w:line="260" w:lineRule="atLeast"/>
        <w:divId w:val="1211765299"/>
        <w:rPr>
          <w:rFonts w:eastAsia="Times New Roman" w:cs="Arial"/>
          <w:spacing w:val="1"/>
        </w:rPr>
      </w:pPr>
      <w:r>
        <w:rPr>
          <w:rFonts w:eastAsia="Times New Roman" w:cs="Arial"/>
          <w:spacing w:val="1"/>
        </w:rPr>
        <w:t> </w:t>
      </w:r>
    </w:p>
    <w:p w14:paraId="1209DCD2" w14:textId="77777777" w:rsidR="00000000" w:rsidRDefault="00052066">
      <w:pPr>
        <w:spacing w:line="260" w:lineRule="atLeast"/>
        <w:divId w:val="1264531422"/>
        <w:rPr>
          <w:rFonts w:eastAsia="Times New Roman" w:cs="Arial"/>
          <w:spacing w:val="1"/>
        </w:rPr>
      </w:pPr>
      <w:r>
        <w:rPr>
          <w:rFonts w:eastAsia="Times New Roman" w:cs="Arial"/>
          <w:spacing w:val="1"/>
        </w:rPr>
        <w:t>SBR is available on the company`s website:</w:t>
      </w:r>
    </w:p>
    <w:p w14:paraId="1F691272" w14:textId="77777777" w:rsidR="00000000" w:rsidRDefault="00052066">
      <w:pPr>
        <w:spacing w:line="260" w:lineRule="atLeast"/>
        <w:divId w:val="1526554073"/>
        <w:rPr>
          <w:rFonts w:eastAsia="Times New Roman" w:cs="Arial"/>
          <w:spacing w:val="1"/>
        </w:rPr>
      </w:pPr>
      <w:r>
        <w:rPr>
          <w:rFonts w:eastAsia="Times New Roman" w:cs="Arial"/>
          <w:spacing w:val="1"/>
        </w:rPr>
        <w:t>https://pata.lv/en/about-us</w:t>
      </w:r>
      <w:r>
        <w:rPr>
          <w:rFonts w:eastAsia="Times New Roman" w:cs="Arial"/>
          <w:spacing w:val="1"/>
        </w:rPr>
        <w:t>/</w:t>
      </w:r>
    </w:p>
    <w:p w14:paraId="6CC0BAE4" w14:textId="78744325" w:rsidR="005415D2" w:rsidRDefault="00083003" w:rsidP="000C27C4">
      <w:pPr>
        <w:pStyle w:val="Heading2"/>
      </w:pPr>
      <w:bookmarkStart w:id="24" w:name="_Toc412646210"/>
      <w:bookmarkStart w:id="25" w:name="_Toc63846086"/>
      <w:r>
        <w:t>Response to stakeholder comments</w:t>
      </w:r>
      <w:bookmarkEnd w:id="24"/>
      <w:bookmarkEnd w:id="25"/>
    </w:p>
    <w:p w14:paraId="38CEB5EA" w14:textId="77777777" w:rsidR="005415D2" w:rsidRPr="000C27C4" w:rsidRDefault="005415D2">
      <w:pPr>
        <w:spacing w:after="0" w:line="240" w:lineRule="auto"/>
        <w:rPr>
          <w:rFonts w:cs="Arial"/>
          <w:lang w:val="en-US" w:eastAsia="nl-NL"/>
        </w:rPr>
      </w:pPr>
    </w:p>
    <w:p w14:paraId="6D2599DD" w14:textId="6F801128" w:rsidR="005415D2" w:rsidRDefault="00083003">
      <w:pPr>
        <w:spacing w:after="0" w:line="240" w:lineRule="auto"/>
        <w:rPr>
          <w:rFonts w:cs="Arial"/>
          <w:lang w:val="en-US" w:eastAsia="nl-NL"/>
        </w:rPr>
      </w:pPr>
      <w:r w:rsidRPr="005B5CFF">
        <w:rPr>
          <w:rFonts w:cs="Arial"/>
          <w:lang w:val="en-US" w:eastAsia="nl-NL"/>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495EBC" w14:paraId="6A684385" w14:textId="77777777" w:rsidTr="00F748D7">
        <w:tc>
          <w:tcPr>
            <w:tcW w:w="1413" w:type="dxa"/>
          </w:tcPr>
          <w:p w14:paraId="353889AB" w14:textId="29618773" w:rsidR="00495EBC" w:rsidRDefault="00495EBC">
            <w:pPr>
              <w:spacing w:after="0" w:line="240" w:lineRule="auto"/>
              <w:rPr>
                <w:rFonts w:cs="Arial"/>
                <w:lang w:val="en-US" w:eastAsia="nl-NL"/>
              </w:rPr>
            </w:pPr>
            <w:r w:rsidRPr="000C27C4">
              <w:rPr>
                <w:rFonts w:cs="Arial"/>
                <w:b/>
                <w:bCs/>
              </w:rPr>
              <w:t>Description:</w:t>
            </w:r>
          </w:p>
        </w:tc>
        <w:tc>
          <w:tcPr>
            <w:tcW w:w="8215" w:type="dxa"/>
          </w:tcPr>
          <w:p w14:paraId="24A6C337" w14:textId="77777777" w:rsidR="00495EBC" w:rsidRDefault="00495EBC">
            <w:pPr>
              <w:spacing w:after="0" w:line="240" w:lineRule="auto"/>
              <w:rPr>
                <w:rFonts w:cs="Arial"/>
              </w:rPr>
            </w:pPr>
            <w:r w:rsidRPr="000C27C4">
              <w:rPr>
                <w:rFonts w:cs="Arial"/>
              </w:rPr>
              <w:t>After informing the interested parties in 2021, no recommendations or complaints were received regarding the risk assessment and risk mitigation development and implementation process.</w:t>
            </w:r>
          </w:p>
          <w:p w14:paraId="55063691" w14:textId="31910CDA" w:rsidR="00F748D7" w:rsidRDefault="00F748D7">
            <w:pPr>
              <w:spacing w:after="0" w:line="240" w:lineRule="auto"/>
              <w:rPr>
                <w:rFonts w:cs="Arial"/>
                <w:lang w:val="en-US" w:eastAsia="nl-NL"/>
              </w:rPr>
            </w:pPr>
          </w:p>
        </w:tc>
      </w:tr>
      <w:tr w:rsidR="00495EBC" w14:paraId="11247636" w14:textId="77777777" w:rsidTr="00F748D7">
        <w:tc>
          <w:tcPr>
            <w:tcW w:w="1413" w:type="dxa"/>
          </w:tcPr>
          <w:p w14:paraId="3CF34645" w14:textId="52C9EC09" w:rsidR="00495EBC" w:rsidRDefault="00495EBC">
            <w:pPr>
              <w:spacing w:after="0" w:line="240" w:lineRule="auto"/>
              <w:rPr>
                <w:rFonts w:cs="Arial"/>
                <w:lang w:val="en-US" w:eastAsia="nl-NL"/>
              </w:rPr>
            </w:pPr>
            <w:r w:rsidRPr="000C27C4">
              <w:rPr>
                <w:rFonts w:cs="Arial"/>
                <w:b/>
                <w:bCs/>
              </w:rPr>
              <w:t>Comment:</w:t>
            </w:r>
          </w:p>
        </w:tc>
        <w:tc>
          <w:tcPr>
            <w:tcW w:w="8215" w:type="dxa"/>
          </w:tcPr>
          <w:p w14:paraId="723D4174" w14:textId="77777777" w:rsidR="00495EBC" w:rsidRDefault="00495EBC">
            <w:pPr>
              <w:spacing w:after="0" w:line="240" w:lineRule="auto"/>
              <w:rPr>
                <w:rFonts w:cs="Arial"/>
              </w:rPr>
            </w:pPr>
            <w:r w:rsidRPr="000C27C4">
              <w:rPr>
                <w:rFonts w:cs="Arial"/>
              </w:rPr>
              <w:t>After informing the interested parties in 2021, no recommendations or complaints were received regarding the risk assessment and risk mitigation development and implementation process.</w:t>
            </w:r>
          </w:p>
          <w:p w14:paraId="5BDB8FB2" w14:textId="2C9BDB6A" w:rsidR="00F748D7" w:rsidRDefault="00F748D7">
            <w:pPr>
              <w:spacing w:after="0" w:line="240" w:lineRule="auto"/>
              <w:rPr>
                <w:rFonts w:cs="Arial"/>
                <w:lang w:val="en-US" w:eastAsia="nl-NL"/>
              </w:rPr>
            </w:pPr>
          </w:p>
        </w:tc>
      </w:tr>
      <w:tr w:rsidR="00495EBC" w14:paraId="4B059A33" w14:textId="77777777" w:rsidTr="00F748D7">
        <w:tc>
          <w:tcPr>
            <w:tcW w:w="1413" w:type="dxa"/>
          </w:tcPr>
          <w:p w14:paraId="3ED7A13A" w14:textId="68B9325B" w:rsidR="00495EBC" w:rsidRDefault="00495EBC">
            <w:pPr>
              <w:spacing w:after="0" w:line="240" w:lineRule="auto"/>
              <w:rPr>
                <w:rFonts w:cs="Arial"/>
                <w:lang w:val="en-US" w:eastAsia="nl-NL"/>
              </w:rPr>
            </w:pPr>
            <w:r w:rsidRPr="000C27C4">
              <w:rPr>
                <w:rFonts w:cs="Arial"/>
                <w:b/>
                <w:bCs/>
              </w:rPr>
              <w:t>Response</w:t>
            </w:r>
            <w:r>
              <w:rPr>
                <w:rFonts w:cs="Arial"/>
                <w:b/>
                <w:bCs/>
              </w:rPr>
              <w:t>:</w:t>
            </w:r>
          </w:p>
        </w:tc>
        <w:tc>
          <w:tcPr>
            <w:tcW w:w="8215" w:type="dxa"/>
          </w:tcPr>
          <w:p w14:paraId="7150FCF8" w14:textId="1165B7EC" w:rsidR="00495EBC" w:rsidRDefault="00495EBC">
            <w:pPr>
              <w:spacing w:after="0" w:line="240" w:lineRule="auto"/>
              <w:rPr>
                <w:rFonts w:cs="Arial"/>
                <w:lang w:val="en-US" w:eastAsia="nl-NL"/>
              </w:rPr>
            </w:pPr>
            <w:r w:rsidRPr="000C27C4">
              <w:rPr>
                <w:rFonts w:cs="Arial"/>
              </w:rPr>
              <w:t>After informing the interested parties in 2021, no recommendations or complaints were received regarding the risk assessment and risk mitigation development and implementation process.</w:t>
            </w:r>
          </w:p>
        </w:tc>
      </w:tr>
    </w:tbl>
    <w:p w14:paraId="1F1F2059" w14:textId="77777777" w:rsidR="00495EBC" w:rsidRPr="005B5CFF" w:rsidRDefault="00495EBC">
      <w:pPr>
        <w:spacing w:after="0" w:line="240" w:lineRule="auto"/>
        <w:rPr>
          <w:rFonts w:cs="Arial"/>
          <w:lang w:val="en-US" w:eastAsia="nl-NL"/>
        </w:rPr>
      </w:pPr>
    </w:p>
    <w:p w14:paraId="499CD515" w14:textId="77777777" w:rsidR="005415D2" w:rsidRPr="005B5CFF" w:rsidRDefault="00083003">
      <w:pPr>
        <w:spacing w:after="0" w:line="240" w:lineRule="auto"/>
        <w:rPr>
          <w:rFonts w:cs="Arial"/>
          <w:lang w:val="en-US" w:eastAsia="nl-NL"/>
        </w:rPr>
      </w:pPr>
      <w:r w:rsidRPr="005B5CFF">
        <w:rPr>
          <w:rFonts w:cs="Arial"/>
          <w:lang w:val="en-US" w:eastAsia="nl-NL"/>
        </w:rPr>
        <w:t xml:space="preserve"> </w:t>
      </w:r>
    </w:p>
    <w:p w14:paraId="20A74FC3" w14:textId="47B80F3E" w:rsidR="005415D2" w:rsidRDefault="00083003" w:rsidP="00AF3063">
      <w:pPr>
        <w:pStyle w:val="Heading1"/>
      </w:pPr>
      <w:bookmarkStart w:id="26" w:name="_Toc412646216"/>
      <w:bookmarkStart w:id="27" w:name="_Toc63846087"/>
      <w:r>
        <w:lastRenderedPageBreak/>
        <w:t>Mitigation measures</w:t>
      </w:r>
      <w:bookmarkEnd w:id="26"/>
      <w:bookmarkEnd w:id="27"/>
    </w:p>
    <w:p w14:paraId="4DABAA1B" w14:textId="6F4B6B22" w:rsidR="005415D2" w:rsidRDefault="00083003" w:rsidP="000C27C4">
      <w:pPr>
        <w:pStyle w:val="Heading2"/>
      </w:pPr>
      <w:bookmarkStart w:id="28" w:name="_Toc412646217"/>
      <w:bookmarkStart w:id="29" w:name="_Toc63846088"/>
      <w:r>
        <w:t>Mitigation measures</w:t>
      </w:r>
      <w:bookmarkEnd w:id="28"/>
      <w:bookmarkEnd w:id="29"/>
    </w:p>
    <w:p w14:paraId="4DA9A579" w14:textId="77777777" w:rsidR="005415D2" w:rsidRDefault="005415D2">
      <w:pPr>
        <w:rPr>
          <w:i/>
        </w:rPr>
      </w:pPr>
    </w:p>
    <w:p w14:paraId="003E00BB" w14:textId="77777777" w:rsidR="005415D2" w:rsidRPr="000C27C4" w:rsidRDefault="005415D2">
      <w:pPr>
        <w:spacing w:after="0" w:line="240" w:lineRule="auto"/>
        <w:rPr>
          <w:rFonts w:cs="Arial"/>
          <w:lang w:val="en-US" w:eastAsia="nl-N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
        <w:gridCol w:w="8307"/>
      </w:tblGrid>
      <w:tr w:rsidR="00A86ADB" w14:paraId="12BB68C6" w14:textId="77777777" w:rsidTr="00A86ADB">
        <w:tc>
          <w:tcPr>
            <w:tcW w:w="2689" w:type="dxa"/>
          </w:tcPr>
          <w:p w14:paraId="46F93BB1" w14:textId="5DD7339D" w:rsidR="00A86ADB" w:rsidRDefault="00A86ADB">
            <w:pPr>
              <w:rPr>
                <w:rFonts w:cs="Arial"/>
                <w:b/>
                <w:bCs/>
                <w:iCs/>
              </w:rPr>
            </w:pPr>
            <w:r w:rsidRPr="000C27C4">
              <w:rPr>
                <w:rFonts w:cs="Arial"/>
                <w:b/>
                <w:bCs/>
                <w:iCs/>
              </w:rPr>
              <w:t>Country</w:t>
            </w:r>
            <w:r>
              <w:rPr>
                <w:rFonts w:cs="Arial"/>
                <w:b/>
                <w:bCs/>
                <w:iCs/>
              </w:rPr>
              <w:t>:</w:t>
            </w:r>
          </w:p>
        </w:tc>
        <w:tc>
          <w:tcPr>
            <w:tcW w:w="6939" w:type="dxa"/>
          </w:tcPr>
          <w:p w14:paraId="6273E23F" w14:textId="179F8691" w:rsidR="00A86ADB" w:rsidRPr="00A86ADB" w:rsidRDefault="00A86ADB">
            <w:pPr>
              <w:rPr>
                <w:rFonts w:cs="Arial"/>
              </w:rPr>
            </w:pPr>
            <w:r w:rsidRPr="000C27C4">
              <w:rPr>
                <w:rFonts w:cs="Arial"/>
              </w:rPr>
              <w:t>Latvia</w:t>
            </w:r>
          </w:p>
        </w:tc>
      </w:tr>
      <w:tr w:rsidR="00A86ADB" w14:paraId="09EE6E30" w14:textId="77777777" w:rsidTr="00A86ADB">
        <w:tc>
          <w:tcPr>
            <w:tcW w:w="2689" w:type="dxa"/>
          </w:tcPr>
          <w:p w14:paraId="3AAF3E42" w14:textId="23E3FE34" w:rsidR="00A86ADB" w:rsidRDefault="00A86ADB">
            <w:pPr>
              <w:rPr>
                <w:rFonts w:cs="Arial"/>
                <w:b/>
                <w:bCs/>
                <w:iCs/>
              </w:rPr>
            </w:pPr>
            <w:r w:rsidRPr="000C27C4">
              <w:rPr>
                <w:rFonts w:cs="Arial"/>
                <w:b/>
                <w:bCs/>
                <w:iCs/>
              </w:rPr>
              <w:t>Specified risk indicator</w:t>
            </w:r>
            <w:r>
              <w:rPr>
                <w:rFonts w:cs="Arial"/>
                <w:b/>
                <w:bCs/>
                <w:iCs/>
              </w:rPr>
              <w:t>:</w:t>
            </w:r>
          </w:p>
        </w:tc>
        <w:tc>
          <w:tcPr>
            <w:tcW w:w="6939" w:type="dxa"/>
          </w:tcPr>
          <w:p w14:paraId="6FF44B02" w14:textId="1173C88A" w:rsidR="00A86ADB" w:rsidRPr="00A86ADB" w:rsidRDefault="00A86ADB">
            <w:pPr>
              <w:rPr>
                <w:rFonts w:cs="Arial"/>
              </w:rPr>
            </w:pPr>
            <w:r w:rsidRPr="000C27C4">
              <w:rPr>
                <w:rFonts w:cs="Arial"/>
              </w:rPr>
              <w:t>2.1.1 The BP has implemented appropriate control systems and procedures for verifying that forests and other areas with high conservation value in the Supply Base are identified and mapped.</w:t>
            </w:r>
          </w:p>
        </w:tc>
      </w:tr>
      <w:tr w:rsidR="00A86ADB" w14:paraId="21865A89" w14:textId="77777777" w:rsidTr="00A86ADB">
        <w:tc>
          <w:tcPr>
            <w:tcW w:w="2689" w:type="dxa"/>
          </w:tcPr>
          <w:p w14:paraId="1B05CEA1" w14:textId="7C9BE781" w:rsidR="00A86ADB" w:rsidRDefault="00A86ADB">
            <w:pPr>
              <w:rPr>
                <w:rFonts w:cs="Arial"/>
                <w:b/>
                <w:bCs/>
                <w:iCs/>
              </w:rPr>
            </w:pPr>
            <w:r w:rsidRPr="000C27C4">
              <w:rPr>
                <w:rFonts w:cs="Arial"/>
                <w:b/>
                <w:bCs/>
              </w:rPr>
              <w:t>Specific risk description</w:t>
            </w:r>
            <w:r>
              <w:rPr>
                <w:rFonts w:cs="Arial"/>
                <w:b/>
                <w:bCs/>
              </w:rPr>
              <w:t>:</w:t>
            </w:r>
          </w:p>
        </w:tc>
        <w:tc>
          <w:tcPr>
            <w:tcW w:w="6939" w:type="dxa"/>
          </w:tcPr>
          <w:p w14:paraId="06D9A4CF" w14:textId="77777777" w:rsidR="00000000" w:rsidRDefault="00052066">
            <w:pPr>
              <w:spacing w:line="260" w:lineRule="atLeast"/>
              <w:divId w:val="485822361"/>
              <w:rPr>
                <w:rFonts w:eastAsia="Times New Roman" w:cs="Arial"/>
                <w:spacing w:val="1"/>
              </w:rPr>
            </w:pPr>
            <w:r>
              <w:rPr>
                <w:rFonts w:eastAsia="Times New Roman" w:cs="Arial"/>
                <w:spacing w:val="1"/>
              </w:rPr>
              <w:t xml:space="preserve">High Conservation Value </w:t>
            </w:r>
            <w:proofErr w:type="gramStart"/>
            <w:r>
              <w:rPr>
                <w:rFonts w:eastAsia="Times New Roman" w:cs="Arial"/>
                <w:spacing w:val="1"/>
              </w:rPr>
              <w:t>Forests :</w:t>
            </w:r>
            <w:proofErr w:type="gramEnd"/>
            <w:r>
              <w:rPr>
                <w:rFonts w:eastAsia="Times New Roman" w:cs="Arial"/>
                <w:spacing w:val="1"/>
              </w:rPr>
              <w:t xml:space="preserve"> include Natura 2000 sites, EU protected habitats, Woodland key habitats - the risk level for this subcategory is considered to be specified risk for non-certified forests</w:t>
            </w:r>
            <w:r>
              <w:rPr>
                <w:rFonts w:eastAsia="Times New Roman" w:cs="Arial"/>
                <w:spacing w:val="1"/>
              </w:rPr>
              <w:t>.</w:t>
            </w:r>
          </w:p>
          <w:p w14:paraId="669453B7" w14:textId="77777777" w:rsidR="00000000" w:rsidRDefault="00052066">
            <w:pPr>
              <w:spacing w:line="260" w:lineRule="atLeast"/>
              <w:divId w:val="1781297556"/>
              <w:rPr>
                <w:rFonts w:eastAsia="Times New Roman" w:cs="Arial"/>
                <w:spacing w:val="1"/>
              </w:rPr>
            </w:pPr>
            <w:r>
              <w:rPr>
                <w:rFonts w:eastAsia="Times New Roman" w:cs="Arial"/>
                <w:spacing w:val="1"/>
              </w:rPr>
              <w:t xml:space="preserve">High Conservation Value </w:t>
            </w:r>
            <w:proofErr w:type="gramStart"/>
            <w:r>
              <w:rPr>
                <w:rFonts w:eastAsia="Times New Roman" w:cs="Arial"/>
                <w:spacing w:val="1"/>
              </w:rPr>
              <w:t>Forests :</w:t>
            </w:r>
            <w:proofErr w:type="gramEnd"/>
            <w:r>
              <w:rPr>
                <w:rFonts w:eastAsia="Times New Roman" w:cs="Arial"/>
                <w:spacing w:val="1"/>
              </w:rPr>
              <w:t xml:space="preserve"> Forest and parks in or around objects of cultural heritage, for instance, manor parks, urban forests, forests of important historical sites - there is no information compiled on the cultural heritage of such forests and th</w:t>
            </w:r>
            <w:r>
              <w:rPr>
                <w:rFonts w:eastAsia="Times New Roman" w:cs="Arial"/>
                <w:spacing w:val="1"/>
              </w:rPr>
              <w:t>e actual cultural heritage status is not fully acknowledged in private, municipal and church owned forests.</w:t>
            </w:r>
          </w:p>
        </w:tc>
      </w:tr>
      <w:tr w:rsidR="00A86ADB" w14:paraId="02149AFC" w14:textId="77777777" w:rsidTr="00A86ADB">
        <w:tc>
          <w:tcPr>
            <w:tcW w:w="2689" w:type="dxa"/>
          </w:tcPr>
          <w:p w14:paraId="3A4BF0EB" w14:textId="040D3F2C" w:rsidR="00A86ADB" w:rsidRDefault="00A86ADB">
            <w:pPr>
              <w:rPr>
                <w:rFonts w:cs="Arial"/>
                <w:b/>
                <w:bCs/>
                <w:iCs/>
              </w:rPr>
            </w:pPr>
            <w:r w:rsidRPr="000C27C4">
              <w:rPr>
                <w:rFonts w:cs="Arial"/>
                <w:b/>
                <w:bCs/>
              </w:rPr>
              <w:t>Mitigation measure</w:t>
            </w:r>
            <w:r>
              <w:rPr>
                <w:rFonts w:cs="Arial"/>
                <w:b/>
                <w:bCs/>
              </w:rPr>
              <w:t>:</w:t>
            </w:r>
          </w:p>
        </w:tc>
        <w:tc>
          <w:tcPr>
            <w:tcW w:w="6939" w:type="dxa"/>
          </w:tcPr>
          <w:p w14:paraId="2C8404F6" w14:textId="77777777" w:rsidR="00000000" w:rsidRDefault="00052066">
            <w:pPr>
              <w:spacing w:line="260" w:lineRule="atLeast"/>
              <w:divId w:val="1666937038"/>
              <w:rPr>
                <w:rFonts w:eastAsia="Times New Roman" w:cs="Arial"/>
                <w:spacing w:val="1"/>
              </w:rPr>
            </w:pPr>
            <w:proofErr w:type="spellStart"/>
            <w:r>
              <w:rPr>
                <w:rFonts w:eastAsia="Times New Roman" w:cs="Arial"/>
                <w:spacing w:val="1"/>
              </w:rPr>
              <w:t>Peerforming</w:t>
            </w:r>
            <w:proofErr w:type="spellEnd"/>
            <w:r>
              <w:rPr>
                <w:rFonts w:eastAsia="Times New Roman" w:cs="Arial"/>
                <w:spacing w:val="1"/>
              </w:rPr>
              <w:t xml:space="preserve"> areas with high conservation values risk assessment procedures prior to logging and checking cadastre numbers using the </w:t>
            </w:r>
            <w:r>
              <w:rPr>
                <w:rFonts w:eastAsia="Times New Roman" w:cs="Arial"/>
                <w:spacing w:val="1"/>
              </w:rPr>
              <w:t>https://www.daba.gov.lv/public/lat/dati1/dabas_datu_parvaldibas_sistema_ozols/. Verification in forest - protection of bird species and the possibility of cultural and historical objects are documented in the MDI (logging questionnaire).</w:t>
            </w:r>
          </w:p>
        </w:tc>
      </w:tr>
    </w:tbl>
    <w:p w14:paraId="3E54ADBA" w14:textId="7E68FE55" w:rsidR="005415D2" w:rsidRDefault="005415D2">
      <w:pPr>
        <w:spacing w:after="0" w:line="240" w:lineRule="auto"/>
        <w:rPr>
          <w:rFonts w:cs="Arial"/>
          <w:lang w:val="en-US" w:eastAsia="nl-N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8320"/>
      </w:tblGrid>
      <w:tr w:rsidR="00A86ADB" w14:paraId="7D94A505" w14:textId="77777777" w:rsidTr="00A86ADB">
        <w:tc>
          <w:tcPr>
            <w:tcW w:w="2689" w:type="dxa"/>
          </w:tcPr>
          <w:p w14:paraId="5FBF17A6" w14:textId="77777777" w:rsidR="00A86ADB" w:rsidRDefault="00A86ADB">
            <w:pPr>
              <w:rPr>
                <w:rFonts w:cs="Arial"/>
                <w:b/>
                <w:bCs/>
                <w:iCs/>
              </w:rPr>
            </w:pPr>
            <w:r w:rsidRPr="000C27C4">
              <w:rPr>
                <w:rFonts w:cs="Arial"/>
                <w:b/>
                <w:bCs/>
                <w:iCs/>
              </w:rPr>
              <w:t>Country</w:t>
            </w:r>
            <w:r>
              <w:rPr>
                <w:rFonts w:cs="Arial"/>
                <w:b/>
                <w:bCs/>
                <w:iCs/>
              </w:rPr>
              <w:t>:</w:t>
            </w:r>
          </w:p>
        </w:tc>
        <w:tc>
          <w:tcPr>
            <w:tcW w:w="6939" w:type="dxa"/>
          </w:tcPr>
          <w:p w14:paraId="40FB23AE" w14:textId="77777777" w:rsidR="00A86ADB" w:rsidRPr="00A86ADB" w:rsidRDefault="00A86ADB">
            <w:pPr>
              <w:rPr>
                <w:rFonts w:cs="Arial"/>
              </w:rPr>
            </w:pPr>
            <w:r w:rsidRPr="000C27C4">
              <w:rPr>
                <w:rFonts w:cs="Arial"/>
              </w:rPr>
              <w:t>Latvia</w:t>
            </w:r>
          </w:p>
        </w:tc>
      </w:tr>
      <w:tr w:rsidR="00A86ADB" w14:paraId="67D88A5C" w14:textId="77777777" w:rsidTr="00A86ADB">
        <w:tc>
          <w:tcPr>
            <w:tcW w:w="2689" w:type="dxa"/>
          </w:tcPr>
          <w:p w14:paraId="4A8BB6B7" w14:textId="77777777" w:rsidR="00A86ADB" w:rsidRDefault="00A86ADB">
            <w:pPr>
              <w:rPr>
                <w:rFonts w:cs="Arial"/>
                <w:b/>
                <w:bCs/>
                <w:iCs/>
              </w:rPr>
            </w:pPr>
            <w:r w:rsidRPr="000C27C4">
              <w:rPr>
                <w:rFonts w:cs="Arial"/>
                <w:b/>
                <w:bCs/>
                <w:iCs/>
              </w:rPr>
              <w:t>Specified risk indicator</w:t>
            </w:r>
            <w:r>
              <w:rPr>
                <w:rFonts w:cs="Arial"/>
                <w:b/>
                <w:bCs/>
                <w:iCs/>
              </w:rPr>
              <w:t>:</w:t>
            </w:r>
          </w:p>
        </w:tc>
        <w:tc>
          <w:tcPr>
            <w:tcW w:w="6939" w:type="dxa"/>
          </w:tcPr>
          <w:p w14:paraId="6CED54BB" w14:textId="77777777" w:rsidR="00A86ADB" w:rsidRPr="00A86ADB" w:rsidRDefault="00A86ADB">
            <w:pPr>
              <w:rPr>
                <w:rFonts w:cs="Arial"/>
              </w:rPr>
            </w:pPr>
            <w:r w:rsidRPr="000C27C4">
              <w:rPr>
                <w:rFonts w:cs="Arial"/>
              </w:rPr>
              <w:t>2.1.2 The BP has implemented appropriate control systems and procedures to identify and address potential threats to forests and other areas with high conservation values from forest management activities.</w:t>
            </w:r>
          </w:p>
        </w:tc>
      </w:tr>
      <w:tr w:rsidR="00A86ADB" w14:paraId="0524DDCF" w14:textId="77777777" w:rsidTr="00A86ADB">
        <w:tc>
          <w:tcPr>
            <w:tcW w:w="2689" w:type="dxa"/>
          </w:tcPr>
          <w:p w14:paraId="7940D225" w14:textId="77777777" w:rsidR="00A86ADB" w:rsidRDefault="00A86ADB">
            <w:pPr>
              <w:rPr>
                <w:rFonts w:cs="Arial"/>
                <w:b/>
                <w:bCs/>
                <w:iCs/>
              </w:rPr>
            </w:pPr>
            <w:r w:rsidRPr="000C27C4">
              <w:rPr>
                <w:rFonts w:cs="Arial"/>
                <w:b/>
                <w:bCs/>
              </w:rPr>
              <w:t>Specific risk description</w:t>
            </w:r>
            <w:r>
              <w:rPr>
                <w:rFonts w:cs="Arial"/>
                <w:b/>
                <w:bCs/>
              </w:rPr>
              <w:t>:</w:t>
            </w:r>
          </w:p>
        </w:tc>
        <w:tc>
          <w:tcPr>
            <w:tcW w:w="6939" w:type="dxa"/>
          </w:tcPr>
          <w:p w14:paraId="18EA357C" w14:textId="77777777" w:rsidR="00000000" w:rsidRDefault="00052066">
            <w:pPr>
              <w:spacing w:line="260" w:lineRule="atLeast"/>
              <w:divId w:val="1187671710"/>
              <w:rPr>
                <w:rFonts w:eastAsia="Times New Roman" w:cs="Arial"/>
                <w:spacing w:val="1"/>
              </w:rPr>
            </w:pPr>
            <w:r>
              <w:rPr>
                <w:rFonts w:eastAsia="Times New Roman" w:cs="Arial"/>
                <w:spacing w:val="1"/>
              </w:rPr>
              <w:t xml:space="preserve">High Conservation Value </w:t>
            </w:r>
            <w:proofErr w:type="gramStart"/>
            <w:r>
              <w:rPr>
                <w:rFonts w:eastAsia="Times New Roman" w:cs="Arial"/>
                <w:spacing w:val="1"/>
              </w:rPr>
              <w:t>Forests :</w:t>
            </w:r>
            <w:proofErr w:type="gramEnd"/>
            <w:r>
              <w:rPr>
                <w:rFonts w:eastAsia="Times New Roman" w:cs="Arial"/>
                <w:spacing w:val="1"/>
              </w:rPr>
              <w:t xml:space="preserve"> With regard to identification and protection of conservation values, there </w:t>
            </w:r>
            <w:r>
              <w:rPr>
                <w:rFonts w:eastAsia="Times New Roman" w:cs="Arial"/>
                <w:spacing w:val="1"/>
              </w:rPr>
              <w:t>is an expert concern about nesting areas of a number of species included in the Bird’s Directive Annex I which are not identified and registered in the forest register databases and thus “de facto” are not protected outside protected nature territories wit</w:t>
            </w:r>
            <w:r>
              <w:rPr>
                <w:rFonts w:eastAsia="Times New Roman" w:cs="Arial"/>
                <w:spacing w:val="1"/>
              </w:rPr>
              <w:t>h special protection regimes</w:t>
            </w:r>
            <w:r>
              <w:rPr>
                <w:rFonts w:eastAsia="Times New Roman" w:cs="Arial"/>
                <w:spacing w:val="1"/>
              </w:rPr>
              <w:t>.</w:t>
            </w:r>
          </w:p>
          <w:p w14:paraId="6C128BC5" w14:textId="77777777" w:rsidR="00000000" w:rsidRDefault="00052066">
            <w:pPr>
              <w:spacing w:line="260" w:lineRule="atLeast"/>
              <w:divId w:val="1074860049"/>
              <w:rPr>
                <w:rFonts w:eastAsia="Times New Roman" w:cs="Arial"/>
                <w:spacing w:val="1"/>
              </w:rPr>
            </w:pPr>
            <w:r>
              <w:rPr>
                <w:rFonts w:eastAsia="Times New Roman" w:cs="Arial"/>
                <w:spacing w:val="1"/>
              </w:rPr>
              <w:t xml:space="preserve">High Conservation Value </w:t>
            </w:r>
            <w:proofErr w:type="gramStart"/>
            <w:r>
              <w:rPr>
                <w:rFonts w:eastAsia="Times New Roman" w:cs="Arial"/>
                <w:spacing w:val="1"/>
              </w:rPr>
              <w:t>Forests :</w:t>
            </w:r>
            <w:proofErr w:type="gramEnd"/>
            <w:r>
              <w:rPr>
                <w:rFonts w:eastAsia="Times New Roman" w:cs="Arial"/>
                <w:spacing w:val="1"/>
              </w:rPr>
              <w:t xml:space="preserve"> Problematic areas in relation to threats to forests and other areas with high conservation values, are nature values in woodland key habitats (WKH) and/or EU protected forest habitats in non-c</w:t>
            </w:r>
            <w:r>
              <w:rPr>
                <w:rFonts w:eastAsia="Times New Roman" w:cs="Arial"/>
                <w:spacing w:val="1"/>
              </w:rPr>
              <w:t>ertified forests</w:t>
            </w:r>
            <w:r>
              <w:rPr>
                <w:rFonts w:eastAsia="Times New Roman" w:cs="Arial"/>
                <w:spacing w:val="1"/>
              </w:rPr>
              <w:t>.</w:t>
            </w:r>
          </w:p>
          <w:p w14:paraId="1E88E779" w14:textId="77777777" w:rsidR="00000000" w:rsidRDefault="00052066">
            <w:pPr>
              <w:spacing w:line="260" w:lineRule="atLeast"/>
              <w:divId w:val="1896619772"/>
              <w:rPr>
                <w:rFonts w:eastAsia="Times New Roman" w:cs="Arial"/>
                <w:spacing w:val="1"/>
              </w:rPr>
            </w:pPr>
            <w:r>
              <w:rPr>
                <w:rFonts w:eastAsia="Times New Roman" w:cs="Arial"/>
                <w:spacing w:val="1"/>
              </w:rPr>
              <w:t xml:space="preserve">High Conservation Value </w:t>
            </w:r>
            <w:proofErr w:type="gramStart"/>
            <w:r>
              <w:rPr>
                <w:rFonts w:eastAsia="Times New Roman" w:cs="Arial"/>
                <w:spacing w:val="1"/>
              </w:rPr>
              <w:t>Forests :</w:t>
            </w:r>
            <w:proofErr w:type="gramEnd"/>
            <w:r>
              <w:rPr>
                <w:rFonts w:eastAsia="Times New Roman" w:cs="Arial"/>
                <w:spacing w:val="1"/>
              </w:rPr>
              <w:t xml:space="preserve"> isolated cases of destruction/damaging of objects of cultural heritage in private forests.</w:t>
            </w:r>
          </w:p>
        </w:tc>
      </w:tr>
      <w:tr w:rsidR="00A86ADB" w14:paraId="3AD9D2FA" w14:textId="77777777" w:rsidTr="00A86ADB">
        <w:tc>
          <w:tcPr>
            <w:tcW w:w="2689" w:type="dxa"/>
          </w:tcPr>
          <w:p w14:paraId="725E014C" w14:textId="77777777" w:rsidR="00A86ADB" w:rsidRDefault="00A86ADB">
            <w:pPr>
              <w:rPr>
                <w:rFonts w:cs="Arial"/>
                <w:b/>
                <w:bCs/>
                <w:iCs/>
              </w:rPr>
            </w:pPr>
            <w:r w:rsidRPr="000C27C4">
              <w:rPr>
                <w:rFonts w:cs="Arial"/>
                <w:b/>
                <w:bCs/>
              </w:rPr>
              <w:t>Mitigation measure</w:t>
            </w:r>
            <w:r>
              <w:rPr>
                <w:rFonts w:cs="Arial"/>
                <w:b/>
                <w:bCs/>
              </w:rPr>
              <w:t>:</w:t>
            </w:r>
          </w:p>
        </w:tc>
        <w:tc>
          <w:tcPr>
            <w:tcW w:w="6939" w:type="dxa"/>
          </w:tcPr>
          <w:p w14:paraId="2A813BA4" w14:textId="77777777" w:rsidR="00000000" w:rsidRDefault="00052066">
            <w:pPr>
              <w:spacing w:line="260" w:lineRule="atLeast"/>
              <w:divId w:val="459539092"/>
              <w:rPr>
                <w:rFonts w:eastAsia="Times New Roman" w:cs="Arial"/>
                <w:spacing w:val="1"/>
              </w:rPr>
            </w:pPr>
            <w:r>
              <w:rPr>
                <w:rFonts w:eastAsia="Times New Roman" w:cs="Arial"/>
                <w:spacing w:val="1"/>
              </w:rPr>
              <w:t xml:space="preserve">Performing biotope risk assessment procedures prior to logging and checking cadastre numbers using the </w:t>
            </w:r>
            <w:r>
              <w:rPr>
                <w:rFonts w:eastAsia="Times New Roman" w:cs="Arial"/>
                <w:spacing w:val="1"/>
              </w:rPr>
              <w:t>https://www.daba.gov.lv/public/lat/dati1/dabas_datu_parvaldibas_sistema_ozols/.   Verifica</w:t>
            </w:r>
            <w:r>
              <w:rPr>
                <w:rFonts w:eastAsia="Times New Roman" w:cs="Arial"/>
                <w:spacing w:val="1"/>
              </w:rPr>
              <w:lastRenderedPageBreak/>
              <w:t>tion in forest - protection of bird species and the possibility of cultural and historical objects are documented in the MDI (logging questionnaire).</w:t>
            </w:r>
          </w:p>
        </w:tc>
      </w:tr>
    </w:tbl>
    <w:p w14:paraId="517F96D6" w14:textId="77777777" w:rsidR="005415D2" w:rsidRDefault="005415D2">
      <w:pPr>
        <w:spacing w:after="0" w:line="240" w:lineRule="auto"/>
        <w:rPr>
          <w:rFonts w:cs="Arial"/>
          <w:lang w:val="en-US" w:eastAsia="nl-N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A86ADB" w14:paraId="5B964E8F" w14:textId="77777777" w:rsidTr="00A86ADB">
        <w:tc>
          <w:tcPr>
            <w:tcW w:w="2689" w:type="dxa"/>
          </w:tcPr>
          <w:p w14:paraId="26CA7DAA" w14:textId="77777777" w:rsidR="00A86ADB" w:rsidRDefault="00A86ADB">
            <w:pPr>
              <w:rPr>
                <w:rFonts w:cs="Arial"/>
                <w:b/>
                <w:bCs/>
                <w:iCs/>
              </w:rPr>
            </w:pPr>
            <w:r w:rsidRPr="000C27C4">
              <w:rPr>
                <w:rFonts w:cs="Arial"/>
                <w:b/>
                <w:bCs/>
                <w:iCs/>
              </w:rPr>
              <w:t>Country</w:t>
            </w:r>
            <w:r>
              <w:rPr>
                <w:rFonts w:cs="Arial"/>
                <w:b/>
                <w:bCs/>
                <w:iCs/>
              </w:rPr>
              <w:t>:</w:t>
            </w:r>
          </w:p>
        </w:tc>
        <w:tc>
          <w:tcPr>
            <w:tcW w:w="6939" w:type="dxa"/>
          </w:tcPr>
          <w:p w14:paraId="4143A824" w14:textId="77777777" w:rsidR="00A86ADB" w:rsidRPr="00A86ADB" w:rsidRDefault="00A86ADB">
            <w:pPr>
              <w:rPr>
                <w:rFonts w:cs="Arial"/>
              </w:rPr>
            </w:pPr>
            <w:r w:rsidRPr="000C27C4">
              <w:rPr>
                <w:rFonts w:cs="Arial"/>
              </w:rPr>
              <w:t>Latvia</w:t>
            </w:r>
          </w:p>
        </w:tc>
      </w:tr>
      <w:tr w:rsidR="00A86ADB" w14:paraId="4F9D2ADF" w14:textId="77777777" w:rsidTr="00A86ADB">
        <w:tc>
          <w:tcPr>
            <w:tcW w:w="2689" w:type="dxa"/>
          </w:tcPr>
          <w:p w14:paraId="3050A9DA" w14:textId="77777777" w:rsidR="00A86ADB" w:rsidRDefault="00A86ADB">
            <w:pPr>
              <w:rPr>
                <w:rFonts w:cs="Arial"/>
                <w:b/>
                <w:bCs/>
                <w:iCs/>
              </w:rPr>
            </w:pPr>
            <w:r w:rsidRPr="000C27C4">
              <w:rPr>
                <w:rFonts w:cs="Arial"/>
                <w:b/>
                <w:bCs/>
                <w:iCs/>
              </w:rPr>
              <w:t>Specified risk indicator</w:t>
            </w:r>
            <w:r>
              <w:rPr>
                <w:rFonts w:cs="Arial"/>
                <w:b/>
                <w:bCs/>
                <w:iCs/>
              </w:rPr>
              <w:t>:</w:t>
            </w:r>
          </w:p>
        </w:tc>
        <w:tc>
          <w:tcPr>
            <w:tcW w:w="6939" w:type="dxa"/>
          </w:tcPr>
          <w:p w14:paraId="2190EB3C" w14:textId="77777777" w:rsidR="00A86ADB" w:rsidRPr="00A86ADB" w:rsidRDefault="00A86ADB">
            <w:pPr>
              <w:rPr>
                <w:rFonts w:cs="Arial"/>
              </w:rPr>
            </w:pPr>
            <w:r w:rsidRPr="000C27C4">
              <w:rPr>
                <w:rFonts w:cs="Arial"/>
              </w:rPr>
              <w:t>2.8.1 The BP has implemented appropriate control systems and procedures for verifying that appropriate safeguards are put in place to protect the health and safety of forest workers (CPET S12).</w:t>
            </w:r>
          </w:p>
        </w:tc>
      </w:tr>
      <w:tr w:rsidR="00A86ADB" w14:paraId="70B5BAC0" w14:textId="77777777" w:rsidTr="00A86ADB">
        <w:tc>
          <w:tcPr>
            <w:tcW w:w="2689" w:type="dxa"/>
          </w:tcPr>
          <w:p w14:paraId="5B829131" w14:textId="77777777" w:rsidR="00A86ADB" w:rsidRDefault="00A86ADB">
            <w:pPr>
              <w:rPr>
                <w:rFonts w:cs="Arial"/>
                <w:b/>
                <w:bCs/>
                <w:iCs/>
              </w:rPr>
            </w:pPr>
            <w:r w:rsidRPr="000C27C4">
              <w:rPr>
                <w:rFonts w:cs="Arial"/>
                <w:b/>
                <w:bCs/>
              </w:rPr>
              <w:t>Specific risk description</w:t>
            </w:r>
            <w:r>
              <w:rPr>
                <w:rFonts w:cs="Arial"/>
                <w:b/>
                <w:bCs/>
              </w:rPr>
              <w:t>:</w:t>
            </w:r>
          </w:p>
        </w:tc>
        <w:tc>
          <w:tcPr>
            <w:tcW w:w="6939" w:type="dxa"/>
          </w:tcPr>
          <w:p w14:paraId="4994E8D9" w14:textId="77777777" w:rsidR="00000000" w:rsidRDefault="00052066">
            <w:pPr>
              <w:spacing w:line="260" w:lineRule="atLeast"/>
              <w:divId w:val="990403962"/>
              <w:rPr>
                <w:rFonts w:eastAsia="Times New Roman" w:cs="Arial"/>
                <w:spacing w:val="1"/>
              </w:rPr>
            </w:pPr>
            <w:r>
              <w:rPr>
                <w:rFonts w:eastAsia="Times New Roman" w:cs="Arial"/>
                <w:spacing w:val="1"/>
              </w:rPr>
              <w:t xml:space="preserve">Low risk can be considered for: • companies working as subcontractors for certified forest managers and who are routinely checked for OH&amp;S issues or are </w:t>
            </w:r>
            <w:r>
              <w:rPr>
                <w:rFonts w:eastAsia="Times New Roman" w:cs="Arial"/>
                <w:spacing w:val="1"/>
              </w:rPr>
              <w:t xml:space="preserve">implementing quality management systems in relation to OH&amp;S issues (ISO 45001 for example); • harvesting works which are carried out exclusively with forest machinery (harvesters). “Specified risk” is considered for: Harvesting works which are carried out </w:t>
            </w:r>
            <w:r>
              <w:rPr>
                <w:rFonts w:eastAsia="Times New Roman" w:cs="Arial"/>
                <w:spacing w:val="1"/>
              </w:rPr>
              <w:t>by manual harvesting means (chainsaws) in noncertified forests. Special focus shall be paid to self-employed persons and workers of microenterprises.</w:t>
            </w:r>
          </w:p>
        </w:tc>
      </w:tr>
      <w:tr w:rsidR="00A86ADB" w14:paraId="521FC8B9" w14:textId="77777777" w:rsidTr="00A86ADB">
        <w:tc>
          <w:tcPr>
            <w:tcW w:w="2689" w:type="dxa"/>
          </w:tcPr>
          <w:p w14:paraId="06CA4380" w14:textId="77777777" w:rsidR="00A86ADB" w:rsidRDefault="00A86ADB">
            <w:pPr>
              <w:rPr>
                <w:rFonts w:cs="Arial"/>
                <w:b/>
                <w:bCs/>
                <w:iCs/>
              </w:rPr>
            </w:pPr>
            <w:r w:rsidRPr="000C27C4">
              <w:rPr>
                <w:rFonts w:cs="Arial"/>
                <w:b/>
                <w:bCs/>
              </w:rPr>
              <w:t>Mitigation measure</w:t>
            </w:r>
            <w:r>
              <w:rPr>
                <w:rFonts w:cs="Arial"/>
                <w:b/>
                <w:bCs/>
              </w:rPr>
              <w:t>:</w:t>
            </w:r>
          </w:p>
        </w:tc>
        <w:tc>
          <w:tcPr>
            <w:tcW w:w="6939" w:type="dxa"/>
          </w:tcPr>
          <w:p w14:paraId="2E7B7AB9" w14:textId="77777777" w:rsidR="00000000" w:rsidRDefault="00052066">
            <w:pPr>
              <w:spacing w:line="260" w:lineRule="atLeast"/>
              <w:divId w:val="411850653"/>
              <w:rPr>
                <w:rFonts w:eastAsia="Times New Roman" w:cs="Arial"/>
                <w:spacing w:val="1"/>
              </w:rPr>
            </w:pPr>
            <w:r>
              <w:rPr>
                <w:rFonts w:eastAsia="Times New Roman" w:cs="Arial"/>
                <w:spacing w:val="1"/>
              </w:rPr>
              <w:t>An assessment form is designed where minimal requirements for maintaining work safety in the forest are included.</w:t>
            </w:r>
          </w:p>
        </w:tc>
      </w:tr>
    </w:tbl>
    <w:p w14:paraId="28643FEB" w14:textId="77777777" w:rsidR="005415D2" w:rsidRDefault="005415D2">
      <w:pPr>
        <w:spacing w:after="0" w:line="240" w:lineRule="auto"/>
        <w:rPr>
          <w:rFonts w:cs="Arial"/>
          <w:lang w:val="en-US" w:eastAsia="nl-N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A86ADB" w14:paraId="7F882003" w14:textId="77777777" w:rsidTr="00A86ADB">
        <w:tc>
          <w:tcPr>
            <w:tcW w:w="2689" w:type="dxa"/>
          </w:tcPr>
          <w:p w14:paraId="28F4E4A0" w14:textId="77777777" w:rsidR="00A86ADB" w:rsidRDefault="00A86ADB">
            <w:pPr>
              <w:rPr>
                <w:rFonts w:cs="Arial"/>
                <w:b/>
                <w:bCs/>
                <w:iCs/>
              </w:rPr>
            </w:pPr>
            <w:r w:rsidRPr="000C27C4">
              <w:rPr>
                <w:rFonts w:cs="Arial"/>
                <w:b/>
                <w:bCs/>
                <w:iCs/>
              </w:rPr>
              <w:t>Country</w:t>
            </w:r>
            <w:r>
              <w:rPr>
                <w:rFonts w:cs="Arial"/>
                <w:b/>
                <w:bCs/>
                <w:iCs/>
              </w:rPr>
              <w:t>:</w:t>
            </w:r>
          </w:p>
        </w:tc>
        <w:tc>
          <w:tcPr>
            <w:tcW w:w="6939" w:type="dxa"/>
          </w:tcPr>
          <w:p w14:paraId="55F3A830" w14:textId="77777777" w:rsidR="00A86ADB" w:rsidRPr="00A86ADB" w:rsidRDefault="00A86ADB">
            <w:pPr>
              <w:rPr>
                <w:rFonts w:cs="Arial"/>
              </w:rPr>
            </w:pPr>
            <w:r w:rsidRPr="000C27C4">
              <w:rPr>
                <w:rFonts w:cs="Arial"/>
              </w:rPr>
              <w:t>Lithuania</w:t>
            </w:r>
          </w:p>
        </w:tc>
      </w:tr>
      <w:tr w:rsidR="00A86ADB" w14:paraId="0B175676" w14:textId="77777777" w:rsidTr="00A86ADB">
        <w:tc>
          <w:tcPr>
            <w:tcW w:w="2689" w:type="dxa"/>
          </w:tcPr>
          <w:p w14:paraId="2441067B" w14:textId="77777777" w:rsidR="00A86ADB" w:rsidRDefault="00A86ADB">
            <w:pPr>
              <w:rPr>
                <w:rFonts w:cs="Arial"/>
                <w:b/>
                <w:bCs/>
                <w:iCs/>
              </w:rPr>
            </w:pPr>
            <w:r w:rsidRPr="000C27C4">
              <w:rPr>
                <w:rFonts w:cs="Arial"/>
                <w:b/>
                <w:bCs/>
                <w:iCs/>
              </w:rPr>
              <w:t>Specified risk indicator</w:t>
            </w:r>
            <w:r>
              <w:rPr>
                <w:rFonts w:cs="Arial"/>
                <w:b/>
                <w:bCs/>
                <w:iCs/>
              </w:rPr>
              <w:t>:</w:t>
            </w:r>
          </w:p>
        </w:tc>
        <w:tc>
          <w:tcPr>
            <w:tcW w:w="6939" w:type="dxa"/>
          </w:tcPr>
          <w:p w14:paraId="6DA26C08" w14:textId="77777777" w:rsidR="00A86ADB" w:rsidRPr="00A86ADB" w:rsidRDefault="00A86ADB">
            <w:pPr>
              <w:rPr>
                <w:rFonts w:cs="Arial"/>
              </w:rPr>
            </w:pPr>
            <w:r w:rsidRPr="000C27C4">
              <w:rPr>
                <w:rFonts w:cs="Arial"/>
              </w:rPr>
              <w:t>2.1.2 The BP has implemented appropriate control systems and procedures to identify and address potential threats to forests and other areas with high conservation values from forest management activities.</w:t>
            </w:r>
          </w:p>
        </w:tc>
      </w:tr>
      <w:tr w:rsidR="00A86ADB" w14:paraId="0388CA7C" w14:textId="77777777" w:rsidTr="00A86ADB">
        <w:tc>
          <w:tcPr>
            <w:tcW w:w="2689" w:type="dxa"/>
          </w:tcPr>
          <w:p w14:paraId="195CA18B" w14:textId="77777777" w:rsidR="00A86ADB" w:rsidRDefault="00A86ADB">
            <w:pPr>
              <w:rPr>
                <w:rFonts w:cs="Arial"/>
                <w:b/>
                <w:bCs/>
                <w:iCs/>
              </w:rPr>
            </w:pPr>
            <w:r w:rsidRPr="000C27C4">
              <w:rPr>
                <w:rFonts w:cs="Arial"/>
                <w:b/>
                <w:bCs/>
              </w:rPr>
              <w:t>Specific risk description</w:t>
            </w:r>
            <w:r>
              <w:rPr>
                <w:rFonts w:cs="Arial"/>
                <w:b/>
                <w:bCs/>
              </w:rPr>
              <w:t>:</w:t>
            </w:r>
          </w:p>
        </w:tc>
        <w:tc>
          <w:tcPr>
            <w:tcW w:w="6939"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23"/>
            </w:tblGrid>
            <w:tr w:rsidR="00000000" w14:paraId="4C8EB5A3" w14:textId="77777777">
              <w:trPr>
                <w:divId w:val="2055419921"/>
                <w:tblCellSpacing w:w="15" w:type="dxa"/>
              </w:trPr>
              <w:tc>
                <w:tcPr>
                  <w:tcW w:w="0" w:type="auto"/>
                  <w:vAlign w:val="center"/>
                  <w:hideMark/>
                </w:tcPr>
                <w:p w14:paraId="11AA47BC" w14:textId="77777777" w:rsidR="00000000" w:rsidRDefault="00052066">
                  <w:pPr>
                    <w:spacing w:line="260" w:lineRule="atLeast"/>
                    <w:divId w:val="296574974"/>
                    <w:rPr>
                      <w:rFonts w:eastAsia="Times New Roman" w:cs="Arial"/>
                      <w:spacing w:val="1"/>
                    </w:rPr>
                  </w:pPr>
                  <w:r>
                    <w:rPr>
                      <w:rFonts w:eastAsia="Times New Roman" w:cs="Arial"/>
                      <w:spacing w:val="1"/>
                    </w:rPr>
                    <w:t>The indicator is identified as low risk for state forest enterprises and specified risk for private forest</w:t>
                  </w:r>
                  <w:r>
                    <w:rPr>
                      <w:rFonts w:eastAsia="Times New Roman" w:cs="Arial"/>
                      <w:spacing w:val="1"/>
                    </w:rPr>
                    <w:t>.</w:t>
                  </w:r>
                </w:p>
              </w:tc>
            </w:tr>
          </w:tbl>
          <w:p w14:paraId="19DB0CDA" w14:textId="77777777" w:rsidR="00000000" w:rsidRDefault="00052066">
            <w:pPr>
              <w:divId w:val="2055419921"/>
              <w:rPr>
                <w:rFonts w:eastAsia="Times New Roman"/>
              </w:rPr>
            </w:pPr>
          </w:p>
        </w:tc>
      </w:tr>
      <w:tr w:rsidR="00A86ADB" w14:paraId="325B7BAE" w14:textId="77777777" w:rsidTr="00A86ADB">
        <w:tc>
          <w:tcPr>
            <w:tcW w:w="2689" w:type="dxa"/>
          </w:tcPr>
          <w:p w14:paraId="31CCAEDF" w14:textId="77777777" w:rsidR="00A86ADB" w:rsidRDefault="00A86ADB">
            <w:pPr>
              <w:rPr>
                <w:rFonts w:cs="Arial"/>
                <w:b/>
                <w:bCs/>
                <w:iCs/>
              </w:rPr>
            </w:pPr>
            <w:r w:rsidRPr="000C27C4">
              <w:rPr>
                <w:rFonts w:cs="Arial"/>
                <w:b/>
                <w:bCs/>
              </w:rPr>
              <w:t>Mitigation measure</w:t>
            </w:r>
            <w:r>
              <w:rPr>
                <w:rFonts w:cs="Arial"/>
                <w:b/>
                <w:bCs/>
              </w:rPr>
              <w:t>:</w:t>
            </w:r>
          </w:p>
        </w:tc>
        <w:tc>
          <w:tcPr>
            <w:tcW w:w="6939" w:type="dxa"/>
          </w:tcPr>
          <w:p w14:paraId="774522F8" w14:textId="77777777" w:rsidR="00000000" w:rsidRDefault="00052066">
            <w:pPr>
              <w:spacing w:line="260" w:lineRule="atLeast"/>
              <w:divId w:val="341663065"/>
              <w:rPr>
                <w:rFonts w:eastAsia="Times New Roman" w:cs="Arial"/>
                <w:spacing w:val="1"/>
              </w:rPr>
            </w:pPr>
            <w:r>
              <w:rPr>
                <w:rFonts w:eastAsia="Times New Roman" w:cs="Arial"/>
                <w:spacing w:val="1"/>
              </w:rPr>
              <w:t>Performing biotope risk assessment procedures prior to logging and checking cadastre numbers using the www.geoportal.lt www.natura2000info.l</w:t>
            </w:r>
            <w:r>
              <w:rPr>
                <w:rFonts w:eastAsia="Times New Roman" w:cs="Arial"/>
                <w:spacing w:val="1"/>
              </w:rPr>
              <w:t>t</w:t>
            </w:r>
          </w:p>
        </w:tc>
      </w:tr>
    </w:tbl>
    <w:p w14:paraId="7AA49827" w14:textId="77777777" w:rsidR="005415D2" w:rsidRDefault="005415D2">
      <w:pPr>
        <w:spacing w:after="0" w:line="240" w:lineRule="auto"/>
        <w:rPr>
          <w:rFonts w:cs="Arial"/>
          <w:lang w:val="en-US" w:eastAsia="nl-N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A86ADB" w14:paraId="648AE50D" w14:textId="77777777" w:rsidTr="00A86ADB">
        <w:tc>
          <w:tcPr>
            <w:tcW w:w="2689" w:type="dxa"/>
          </w:tcPr>
          <w:p w14:paraId="176DF71F" w14:textId="77777777" w:rsidR="00A86ADB" w:rsidRDefault="00A86ADB">
            <w:pPr>
              <w:rPr>
                <w:rFonts w:cs="Arial"/>
                <w:b/>
                <w:bCs/>
                <w:iCs/>
              </w:rPr>
            </w:pPr>
            <w:r w:rsidRPr="000C27C4">
              <w:rPr>
                <w:rFonts w:cs="Arial"/>
                <w:b/>
                <w:bCs/>
                <w:iCs/>
              </w:rPr>
              <w:t>Country</w:t>
            </w:r>
            <w:r>
              <w:rPr>
                <w:rFonts w:cs="Arial"/>
                <w:b/>
                <w:bCs/>
                <w:iCs/>
              </w:rPr>
              <w:t>:</w:t>
            </w:r>
          </w:p>
        </w:tc>
        <w:tc>
          <w:tcPr>
            <w:tcW w:w="6939" w:type="dxa"/>
          </w:tcPr>
          <w:p w14:paraId="70AE29EA" w14:textId="77777777" w:rsidR="00A86ADB" w:rsidRPr="00A86ADB" w:rsidRDefault="00A86ADB">
            <w:pPr>
              <w:rPr>
                <w:rFonts w:cs="Arial"/>
              </w:rPr>
            </w:pPr>
            <w:r w:rsidRPr="000C27C4">
              <w:rPr>
                <w:rFonts w:cs="Arial"/>
              </w:rPr>
              <w:t>Lithuania</w:t>
            </w:r>
          </w:p>
        </w:tc>
      </w:tr>
      <w:tr w:rsidR="00A86ADB" w14:paraId="3D095001" w14:textId="77777777" w:rsidTr="00A86ADB">
        <w:tc>
          <w:tcPr>
            <w:tcW w:w="2689" w:type="dxa"/>
          </w:tcPr>
          <w:p w14:paraId="3F82050E" w14:textId="77777777" w:rsidR="00A86ADB" w:rsidRDefault="00A86ADB">
            <w:pPr>
              <w:rPr>
                <w:rFonts w:cs="Arial"/>
                <w:b/>
                <w:bCs/>
                <w:iCs/>
              </w:rPr>
            </w:pPr>
            <w:r w:rsidRPr="000C27C4">
              <w:rPr>
                <w:rFonts w:cs="Arial"/>
                <w:b/>
                <w:bCs/>
                <w:iCs/>
              </w:rPr>
              <w:t>Specified risk indicator</w:t>
            </w:r>
            <w:r>
              <w:rPr>
                <w:rFonts w:cs="Arial"/>
                <w:b/>
                <w:bCs/>
                <w:iCs/>
              </w:rPr>
              <w:t>:</w:t>
            </w:r>
          </w:p>
        </w:tc>
        <w:tc>
          <w:tcPr>
            <w:tcW w:w="6939" w:type="dxa"/>
          </w:tcPr>
          <w:p w14:paraId="7A08C20C" w14:textId="77777777" w:rsidR="00A86ADB" w:rsidRPr="00A86ADB" w:rsidRDefault="00A86ADB">
            <w:pPr>
              <w:rPr>
                <w:rFonts w:cs="Arial"/>
              </w:rPr>
            </w:pPr>
            <w:r w:rsidRPr="000C27C4">
              <w:rPr>
                <w:rFonts w:cs="Arial"/>
              </w:rPr>
              <w:t>2.8.1 The BP has implemented appropriate control systems and procedures for verifying that appropriate safeguards are put in place to protect the health and safety of forest workers (CPET S12).</w:t>
            </w:r>
          </w:p>
        </w:tc>
      </w:tr>
      <w:tr w:rsidR="00A86ADB" w14:paraId="65426C82" w14:textId="77777777" w:rsidTr="00A86ADB">
        <w:tc>
          <w:tcPr>
            <w:tcW w:w="2689" w:type="dxa"/>
          </w:tcPr>
          <w:p w14:paraId="294F03C4" w14:textId="77777777" w:rsidR="00A86ADB" w:rsidRDefault="00A86ADB">
            <w:pPr>
              <w:rPr>
                <w:rFonts w:cs="Arial"/>
                <w:b/>
                <w:bCs/>
                <w:iCs/>
              </w:rPr>
            </w:pPr>
            <w:r w:rsidRPr="000C27C4">
              <w:rPr>
                <w:rFonts w:cs="Arial"/>
                <w:b/>
                <w:bCs/>
              </w:rPr>
              <w:t>Specific risk description</w:t>
            </w:r>
            <w:r>
              <w:rPr>
                <w:rFonts w:cs="Arial"/>
                <w:b/>
                <w:bCs/>
              </w:rPr>
              <w:t>:</w:t>
            </w:r>
          </w:p>
        </w:tc>
        <w:tc>
          <w:tcPr>
            <w:tcW w:w="6939" w:type="dxa"/>
          </w:tcPr>
          <w:p w14:paraId="7D4543AE" w14:textId="77777777" w:rsidR="00000000" w:rsidRDefault="00052066">
            <w:pPr>
              <w:spacing w:line="260" w:lineRule="atLeast"/>
              <w:divId w:val="1464810754"/>
              <w:rPr>
                <w:rFonts w:eastAsia="Times New Roman" w:cs="Arial"/>
                <w:spacing w:val="1"/>
              </w:rPr>
            </w:pPr>
            <w:r>
              <w:rPr>
                <w:rFonts w:eastAsia="Times New Roman" w:cs="Arial"/>
                <w:spacing w:val="1"/>
              </w:rPr>
              <w:t xml:space="preserve">Within the EU forest sector, Lithuania is the country with the highest risk in relation to health and safety. There is a concern about contractors working in </w:t>
            </w:r>
            <w:r>
              <w:rPr>
                <w:rFonts w:eastAsia="Times New Roman" w:cs="Arial"/>
                <w:spacing w:val="1"/>
              </w:rPr>
              <w:t>private forest because of periodically occurring fatal and serious injuries at the work place. In addition, there are not sufficient measures to ensure that contractors working in private forest follow the health and safety requirements, therefore it was d</w:t>
            </w:r>
            <w:r>
              <w:rPr>
                <w:rFonts w:eastAsia="Times New Roman" w:cs="Arial"/>
                <w:spacing w:val="1"/>
              </w:rPr>
              <w:t>ecided to assign specified risk to this indicator for the contractors working in private forest.</w:t>
            </w:r>
          </w:p>
        </w:tc>
      </w:tr>
      <w:tr w:rsidR="00A86ADB" w14:paraId="524D1709" w14:textId="77777777" w:rsidTr="00A86ADB">
        <w:tc>
          <w:tcPr>
            <w:tcW w:w="2689" w:type="dxa"/>
          </w:tcPr>
          <w:p w14:paraId="4049B2A2" w14:textId="77777777" w:rsidR="00A86ADB" w:rsidRDefault="00A86ADB">
            <w:pPr>
              <w:rPr>
                <w:rFonts w:cs="Arial"/>
                <w:b/>
                <w:bCs/>
                <w:iCs/>
              </w:rPr>
            </w:pPr>
            <w:r w:rsidRPr="000C27C4">
              <w:rPr>
                <w:rFonts w:cs="Arial"/>
                <w:b/>
                <w:bCs/>
              </w:rPr>
              <w:t>Mitigation measure</w:t>
            </w:r>
            <w:r>
              <w:rPr>
                <w:rFonts w:cs="Arial"/>
                <w:b/>
                <w:bCs/>
              </w:rPr>
              <w:t>:</w:t>
            </w:r>
          </w:p>
        </w:tc>
        <w:tc>
          <w:tcPr>
            <w:tcW w:w="6939" w:type="dxa"/>
          </w:tcPr>
          <w:p w14:paraId="0F307D8C" w14:textId="77777777" w:rsidR="00000000" w:rsidRDefault="00052066">
            <w:pPr>
              <w:spacing w:line="260" w:lineRule="atLeast"/>
              <w:divId w:val="1716923289"/>
              <w:rPr>
                <w:rFonts w:eastAsia="Times New Roman" w:cs="Arial"/>
                <w:spacing w:val="1"/>
              </w:rPr>
            </w:pPr>
            <w:r>
              <w:rPr>
                <w:rFonts w:eastAsia="Times New Roman" w:cs="Arial"/>
                <w:spacing w:val="1"/>
              </w:rPr>
              <w:t>An assessment form is designed where minimal requirements for maintaining work safety in the forest are included</w:t>
            </w:r>
            <w:r>
              <w:rPr>
                <w:rFonts w:eastAsia="Times New Roman" w:cs="Arial"/>
                <w:spacing w:val="1"/>
              </w:rPr>
              <w:t>.</w:t>
            </w:r>
          </w:p>
        </w:tc>
      </w:tr>
    </w:tbl>
    <w:p w14:paraId="7279906E" w14:textId="77777777" w:rsidR="005415D2" w:rsidRDefault="005415D2">
      <w:pPr>
        <w:spacing w:after="0" w:line="240" w:lineRule="auto"/>
        <w:rPr>
          <w:rFonts w:cs="Arial"/>
          <w:lang w:val="en-US" w:eastAsia="nl-N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8443"/>
      </w:tblGrid>
      <w:tr w:rsidR="00A86ADB" w14:paraId="60E7784D" w14:textId="77777777" w:rsidTr="00A86ADB">
        <w:tc>
          <w:tcPr>
            <w:tcW w:w="2689" w:type="dxa"/>
          </w:tcPr>
          <w:p w14:paraId="3CA6B5D6" w14:textId="77777777" w:rsidR="00A86ADB" w:rsidRDefault="00A86ADB">
            <w:pPr>
              <w:rPr>
                <w:rFonts w:cs="Arial"/>
                <w:b/>
                <w:bCs/>
                <w:iCs/>
              </w:rPr>
            </w:pPr>
            <w:r w:rsidRPr="000C27C4">
              <w:rPr>
                <w:rFonts w:cs="Arial"/>
                <w:b/>
                <w:bCs/>
                <w:iCs/>
              </w:rPr>
              <w:lastRenderedPageBreak/>
              <w:t>Country</w:t>
            </w:r>
            <w:r>
              <w:rPr>
                <w:rFonts w:cs="Arial"/>
                <w:b/>
                <w:bCs/>
                <w:iCs/>
              </w:rPr>
              <w:t>:</w:t>
            </w:r>
          </w:p>
        </w:tc>
        <w:tc>
          <w:tcPr>
            <w:tcW w:w="6939" w:type="dxa"/>
          </w:tcPr>
          <w:p w14:paraId="629A9F8B" w14:textId="77777777" w:rsidR="00A86ADB" w:rsidRPr="00A86ADB" w:rsidRDefault="00A86ADB">
            <w:pPr>
              <w:rPr>
                <w:rFonts w:cs="Arial"/>
              </w:rPr>
            </w:pPr>
            <w:r w:rsidRPr="000C27C4">
              <w:rPr>
                <w:rFonts w:cs="Arial"/>
              </w:rPr>
              <w:t>Estonia</w:t>
            </w:r>
          </w:p>
        </w:tc>
      </w:tr>
      <w:tr w:rsidR="00A86ADB" w14:paraId="2FD8C523" w14:textId="77777777" w:rsidTr="00A86ADB">
        <w:tc>
          <w:tcPr>
            <w:tcW w:w="2689" w:type="dxa"/>
          </w:tcPr>
          <w:p w14:paraId="2AFF15E3" w14:textId="77777777" w:rsidR="00A86ADB" w:rsidRDefault="00A86ADB">
            <w:pPr>
              <w:rPr>
                <w:rFonts w:cs="Arial"/>
                <w:b/>
                <w:bCs/>
                <w:iCs/>
              </w:rPr>
            </w:pPr>
            <w:r w:rsidRPr="000C27C4">
              <w:rPr>
                <w:rFonts w:cs="Arial"/>
                <w:b/>
                <w:bCs/>
                <w:iCs/>
              </w:rPr>
              <w:t>Specified risk indicator</w:t>
            </w:r>
            <w:r>
              <w:rPr>
                <w:rFonts w:cs="Arial"/>
                <w:b/>
                <w:bCs/>
                <w:iCs/>
              </w:rPr>
              <w:t>:</w:t>
            </w:r>
          </w:p>
        </w:tc>
        <w:tc>
          <w:tcPr>
            <w:tcW w:w="6939" w:type="dxa"/>
          </w:tcPr>
          <w:p w14:paraId="16F77F3B" w14:textId="77777777" w:rsidR="00A86ADB" w:rsidRPr="00A86ADB" w:rsidRDefault="00A86ADB">
            <w:pPr>
              <w:rPr>
                <w:rFonts w:cs="Arial"/>
              </w:rPr>
            </w:pPr>
            <w:r w:rsidRPr="000C27C4">
              <w:rPr>
                <w:rFonts w:cs="Arial"/>
              </w:rPr>
              <w:t>2.1.2 The BP has implemented appropriate control systems and procedures to identify and address potential threats to forests and other areas with high conservation values from forest management activities.</w:t>
            </w:r>
          </w:p>
        </w:tc>
      </w:tr>
      <w:tr w:rsidR="00A86ADB" w14:paraId="30BE49C9" w14:textId="77777777" w:rsidTr="00A86ADB">
        <w:tc>
          <w:tcPr>
            <w:tcW w:w="2689" w:type="dxa"/>
          </w:tcPr>
          <w:p w14:paraId="2A0FAD3A" w14:textId="77777777" w:rsidR="00A86ADB" w:rsidRDefault="00A86ADB">
            <w:pPr>
              <w:rPr>
                <w:rFonts w:cs="Arial"/>
                <w:b/>
                <w:bCs/>
                <w:iCs/>
              </w:rPr>
            </w:pPr>
            <w:r w:rsidRPr="000C27C4">
              <w:rPr>
                <w:rFonts w:cs="Arial"/>
                <w:b/>
                <w:bCs/>
              </w:rPr>
              <w:t>Specific risk description</w:t>
            </w:r>
            <w:r>
              <w:rPr>
                <w:rFonts w:cs="Arial"/>
                <w:b/>
                <w:bCs/>
              </w:rPr>
              <w:t>:</w:t>
            </w:r>
          </w:p>
        </w:tc>
        <w:tc>
          <w:tcPr>
            <w:tcW w:w="6939" w:type="dxa"/>
          </w:tcPr>
          <w:p w14:paraId="671FF290" w14:textId="77777777" w:rsidR="00000000" w:rsidRDefault="00052066">
            <w:pPr>
              <w:spacing w:line="260" w:lineRule="atLeast"/>
              <w:divId w:val="913591995"/>
              <w:rPr>
                <w:rFonts w:eastAsia="Times New Roman" w:cs="Arial"/>
                <w:spacing w:val="1"/>
              </w:rPr>
            </w:pPr>
            <w:r>
              <w:rPr>
                <w:rFonts w:eastAsia="Times New Roman" w:cs="Arial"/>
                <w:i/>
                <w:iCs/>
                <w:spacing w:val="1"/>
              </w:rPr>
              <w:t> </w:t>
            </w:r>
            <w:r>
              <w:rPr>
                <w:rFonts w:eastAsia="Times New Roman" w:cs="Arial"/>
                <w:spacing w:val="1"/>
              </w:rPr>
              <w:t>In state forest, FSC or PEFC-certified private forest, and in private forests where a WKH contract has been signed, WKH are protected</w:t>
            </w:r>
            <w:r>
              <w:rPr>
                <w:rFonts w:eastAsia="Times New Roman" w:cs="Arial"/>
                <w:spacing w:val="1"/>
              </w:rPr>
              <w:t>.</w:t>
            </w:r>
          </w:p>
          <w:p w14:paraId="4FA96616" w14:textId="77777777" w:rsidR="00000000" w:rsidRDefault="00052066">
            <w:pPr>
              <w:spacing w:line="260" w:lineRule="atLeast"/>
              <w:divId w:val="1855345119"/>
              <w:rPr>
                <w:rFonts w:eastAsia="Times New Roman" w:cs="Arial"/>
                <w:spacing w:val="1"/>
              </w:rPr>
            </w:pPr>
            <w:r>
              <w:rPr>
                <w:rFonts w:eastAsia="Times New Roman" w:cs="Arial"/>
                <w:spacing w:val="1"/>
              </w:rPr>
              <w:t xml:space="preserve">The risk level for this indicator in uncertified </w:t>
            </w:r>
            <w:r>
              <w:rPr>
                <w:rFonts w:eastAsia="Times New Roman" w:cs="Arial"/>
                <w:spacing w:val="1"/>
              </w:rPr>
              <w:t>private forest is specified and low for state forest and FSC or PEFC-certified private forest.</w:t>
            </w:r>
          </w:p>
        </w:tc>
      </w:tr>
      <w:tr w:rsidR="00A86ADB" w14:paraId="4ED14715" w14:textId="77777777" w:rsidTr="00A86ADB">
        <w:tc>
          <w:tcPr>
            <w:tcW w:w="2689" w:type="dxa"/>
          </w:tcPr>
          <w:p w14:paraId="0F217E29" w14:textId="77777777" w:rsidR="00A86ADB" w:rsidRDefault="00A86ADB">
            <w:pPr>
              <w:rPr>
                <w:rFonts w:cs="Arial"/>
                <w:b/>
                <w:bCs/>
                <w:iCs/>
              </w:rPr>
            </w:pPr>
            <w:r w:rsidRPr="000C27C4">
              <w:rPr>
                <w:rFonts w:cs="Arial"/>
                <w:b/>
                <w:bCs/>
              </w:rPr>
              <w:t>Mitigation measure</w:t>
            </w:r>
            <w:r>
              <w:rPr>
                <w:rFonts w:cs="Arial"/>
                <w:b/>
                <w:bCs/>
              </w:rPr>
              <w:t>:</w:t>
            </w:r>
          </w:p>
        </w:tc>
        <w:tc>
          <w:tcPr>
            <w:tcW w:w="6939" w:type="dxa"/>
          </w:tcPr>
          <w:p w14:paraId="7B3C2E83" w14:textId="77777777" w:rsidR="00000000" w:rsidRDefault="00052066">
            <w:pPr>
              <w:spacing w:line="260" w:lineRule="atLeast"/>
              <w:divId w:val="317807945"/>
              <w:rPr>
                <w:rFonts w:eastAsia="Times New Roman" w:cs="Arial"/>
                <w:spacing w:val="1"/>
              </w:rPr>
            </w:pPr>
            <w:r>
              <w:rPr>
                <w:rFonts w:eastAsia="Times New Roman" w:cs="Arial"/>
                <w:spacing w:val="1"/>
              </w:rPr>
              <w:t xml:space="preserve">Performing areas with high conservation values risk assessment procedures prior to logging and checking cadastre numbers using http://register.metsad.ee and </w:t>
            </w:r>
            <w:r>
              <w:rPr>
                <w:rFonts w:eastAsia="Times New Roman" w:cs="Arial"/>
                <w:spacing w:val="1"/>
              </w:rPr>
              <w:t xml:space="preserve">https://ee.fsc.org/ee-ee/fsc-sertimine/kontrollitud-puit/vaeaeriselupaigad </w:t>
            </w:r>
            <w:proofErr w:type="spellStart"/>
            <w:r>
              <w:rPr>
                <w:rFonts w:eastAsia="Times New Roman" w:cs="Arial"/>
                <w:spacing w:val="1"/>
              </w:rPr>
              <w:t>and</w:t>
            </w:r>
            <w:proofErr w:type="spellEnd"/>
            <w:r>
              <w:rPr>
                <w:rFonts w:eastAsia="Times New Roman" w:cs="Arial"/>
                <w:spacing w:val="1"/>
              </w:rPr>
              <w:t xml:space="preserve"> https://hiiepaik.maps.arcgis.com/apps/webappviewer/index.html?id=09558607d1dd4c07acc46c338b2196a</w:t>
            </w:r>
            <w:r>
              <w:rPr>
                <w:rFonts w:eastAsia="Times New Roman" w:cs="Arial"/>
                <w:spacing w:val="1"/>
              </w:rPr>
              <w:t>c</w:t>
            </w:r>
          </w:p>
        </w:tc>
      </w:tr>
    </w:tbl>
    <w:p w14:paraId="4DA0D542" w14:textId="77777777" w:rsidR="005415D2" w:rsidRDefault="005415D2">
      <w:pPr>
        <w:spacing w:after="0" w:line="240" w:lineRule="auto"/>
        <w:rPr>
          <w:rFonts w:cs="Arial"/>
          <w:lang w:val="en-US" w:eastAsia="nl-NL"/>
        </w:rPr>
      </w:pPr>
    </w:p>
    <w:p w14:paraId="1CF1F6F2" w14:textId="77777777" w:rsidR="002C2A0D" w:rsidRPr="000C27C4" w:rsidRDefault="002C2A0D">
      <w:pPr>
        <w:spacing w:after="0" w:line="240" w:lineRule="auto"/>
        <w:rPr>
          <w:rFonts w:cs="Arial"/>
          <w:lang w:val="en-US" w:eastAsia="nl-NL"/>
        </w:rPr>
      </w:pPr>
    </w:p>
    <w:p w14:paraId="51998BF7" w14:textId="77D24483" w:rsidR="005415D2" w:rsidRDefault="00083003" w:rsidP="000C27C4">
      <w:pPr>
        <w:pStyle w:val="Heading2"/>
      </w:pPr>
      <w:bookmarkStart w:id="30" w:name="_Toc412646218"/>
      <w:bookmarkStart w:id="31" w:name="_Toc63846089"/>
      <w:r>
        <w:t>Monitoring and outcomes</w:t>
      </w:r>
      <w:bookmarkEnd w:id="30"/>
      <w:bookmarkEnd w:id="31"/>
    </w:p>
    <w:p w14:paraId="3AECE494" w14:textId="77777777" w:rsidR="00000000" w:rsidRDefault="00052066">
      <w:pPr>
        <w:spacing w:line="260" w:lineRule="atLeast"/>
        <w:divId w:val="773942705"/>
        <w:rPr>
          <w:rFonts w:eastAsia="Times New Roman" w:cs="Arial"/>
          <w:spacing w:val="1"/>
        </w:rPr>
      </w:pPr>
      <w:r>
        <w:rPr>
          <w:rFonts w:eastAsia="Times New Roman" w:cs="Arial"/>
          <w:spacing w:val="1"/>
        </w:rPr>
        <w:t xml:space="preserve">The suppliers that refuse to cooperate with SIA PATA in the identification of the preserve biotopes, protected bird </w:t>
      </w:r>
      <w:proofErr w:type="gramStart"/>
      <w:r>
        <w:rPr>
          <w:rFonts w:eastAsia="Times New Roman" w:cs="Arial"/>
          <w:spacing w:val="1"/>
        </w:rPr>
        <w:t xml:space="preserve">species,  </w:t>
      </w:r>
      <w:r>
        <w:rPr>
          <w:rFonts w:eastAsia="Times New Roman" w:cs="Arial"/>
          <w:spacing w:val="1"/>
        </w:rPr>
        <w:t>cultural</w:t>
      </w:r>
      <w:proofErr w:type="gramEnd"/>
      <w:r>
        <w:rPr>
          <w:rFonts w:eastAsia="Times New Roman" w:cs="Arial"/>
          <w:spacing w:val="1"/>
        </w:rPr>
        <w:t xml:space="preserve"> heritage objects and complying with work safety requirements, thus mitigated the risk of supplying SBP non-compliant feedstocks, were not approved for wood supply</w:t>
      </w:r>
      <w:r>
        <w:rPr>
          <w:rFonts w:eastAsia="Times New Roman" w:cs="Arial"/>
          <w:spacing w:val="1"/>
        </w:rPr>
        <w:t>.</w:t>
      </w:r>
    </w:p>
    <w:p w14:paraId="2D09D490" w14:textId="77777777" w:rsidR="00000000" w:rsidRDefault="00052066">
      <w:pPr>
        <w:spacing w:line="260" w:lineRule="atLeast"/>
        <w:divId w:val="1414739849"/>
        <w:rPr>
          <w:rFonts w:eastAsia="Times New Roman" w:cs="Arial"/>
          <w:spacing w:val="1"/>
        </w:rPr>
      </w:pPr>
      <w:r>
        <w:rPr>
          <w:rFonts w:eastAsia="Times New Roman" w:cs="Arial"/>
          <w:spacing w:val="1"/>
        </w:rPr>
        <w:t> </w:t>
      </w:r>
    </w:p>
    <w:p w14:paraId="6D2C6722" w14:textId="77777777" w:rsidR="00000000" w:rsidRDefault="00052066">
      <w:pPr>
        <w:spacing w:line="260" w:lineRule="atLeast"/>
        <w:divId w:val="519860492"/>
        <w:rPr>
          <w:rFonts w:eastAsia="Times New Roman" w:cs="Arial"/>
          <w:spacing w:val="1"/>
        </w:rPr>
      </w:pPr>
      <w:r>
        <w:rPr>
          <w:rFonts w:eastAsia="Times New Roman" w:cs="Arial"/>
          <w:spacing w:val="1"/>
        </w:rPr>
        <w:t>All suppliers are checked in OZOLS database for existing preserve biotopes and ch</w:t>
      </w:r>
      <w:r>
        <w:rPr>
          <w:rFonts w:eastAsia="Times New Roman" w:cs="Arial"/>
          <w:spacing w:val="1"/>
        </w:rPr>
        <w:t>ecked in forest for protected bird species and cultural heritage objects, thus provide SBP compliant feedstocks supplies</w:t>
      </w:r>
      <w:r>
        <w:rPr>
          <w:rFonts w:eastAsia="Times New Roman" w:cs="Arial"/>
          <w:spacing w:val="1"/>
        </w:rPr>
        <w:t>.</w:t>
      </w:r>
    </w:p>
    <w:p w14:paraId="5B7D86D9" w14:textId="77777777" w:rsidR="00000000" w:rsidRDefault="00052066">
      <w:pPr>
        <w:spacing w:line="260" w:lineRule="atLeast"/>
        <w:divId w:val="57477881"/>
        <w:rPr>
          <w:rFonts w:eastAsia="Times New Roman" w:cs="Arial"/>
          <w:spacing w:val="1"/>
        </w:rPr>
      </w:pPr>
      <w:r>
        <w:rPr>
          <w:rFonts w:eastAsia="Times New Roman" w:cs="Arial"/>
          <w:spacing w:val="1"/>
        </w:rPr>
        <w:t> </w:t>
      </w:r>
    </w:p>
    <w:p w14:paraId="79AB2AA4" w14:textId="77777777" w:rsidR="00000000" w:rsidRDefault="00052066">
      <w:pPr>
        <w:spacing w:line="260" w:lineRule="atLeast"/>
        <w:divId w:val="2124570600"/>
        <w:rPr>
          <w:rFonts w:eastAsia="Times New Roman" w:cs="Arial"/>
          <w:spacing w:val="1"/>
        </w:rPr>
      </w:pPr>
      <w:r>
        <w:rPr>
          <w:rFonts w:eastAsia="Times New Roman" w:cs="Arial"/>
          <w:spacing w:val="1"/>
        </w:rPr>
        <w:t>After SBP risk mitigation inspections, as well as creation of information materials, the supplier and forest owner have developed an</w:t>
      </w:r>
      <w:r>
        <w:rPr>
          <w:rFonts w:eastAsia="Times New Roman" w:cs="Arial"/>
          <w:spacing w:val="1"/>
        </w:rPr>
        <w:t xml:space="preserve"> understanding of SBE requirements regarding risk categories, their recognition and mitigation mechanism.</w:t>
      </w:r>
    </w:p>
    <w:p w14:paraId="368FC06D" w14:textId="77777777" w:rsidR="00000000" w:rsidRDefault="00052066">
      <w:pPr>
        <w:spacing w:line="260" w:lineRule="atLeast"/>
        <w:divId w:val="1848131329"/>
        <w:rPr>
          <w:rFonts w:eastAsia="Times New Roman" w:cs="Arial"/>
          <w:spacing w:val="1"/>
        </w:rPr>
      </w:pPr>
      <w:r>
        <w:rPr>
          <w:rFonts w:eastAsia="Times New Roman" w:cs="Arial"/>
          <w:spacing w:val="1"/>
        </w:rPr>
        <w:br/>
      </w:r>
    </w:p>
    <w:p w14:paraId="43D5F056" w14:textId="77777777" w:rsidR="00000000" w:rsidRDefault="00052066">
      <w:pPr>
        <w:spacing w:line="260" w:lineRule="atLeast"/>
        <w:divId w:val="701976959"/>
        <w:rPr>
          <w:rFonts w:eastAsia="Times New Roman" w:cs="Arial"/>
          <w:spacing w:val="1"/>
        </w:rPr>
      </w:pPr>
      <w:r>
        <w:rPr>
          <w:rFonts w:eastAsia="Times New Roman" w:cs="Arial"/>
          <w:spacing w:val="1"/>
        </w:rPr>
        <w:t>The company performed field inspections as part of SBP certification.</w:t>
      </w:r>
      <w:r>
        <w:rPr>
          <w:rFonts w:eastAsia="Times New Roman" w:cs="Arial"/>
          <w:spacing w:val="1"/>
        </w:rPr>
        <w:t xml:space="preserve"> </w:t>
      </w:r>
    </w:p>
    <w:p w14:paraId="0171EBD0" w14:textId="77777777" w:rsidR="00000000" w:rsidRDefault="00052066">
      <w:pPr>
        <w:spacing w:line="260" w:lineRule="atLeast"/>
        <w:divId w:val="313606687"/>
        <w:rPr>
          <w:rFonts w:eastAsia="Times New Roman" w:cs="Arial"/>
          <w:spacing w:val="1"/>
        </w:rPr>
      </w:pPr>
      <w:r>
        <w:rPr>
          <w:rFonts w:eastAsia="Times New Roman" w:cs="Arial"/>
          <w:spacing w:val="1"/>
        </w:rPr>
        <w:t>As part of risk mitigation measures in Latvia, in 2021 in 2300 forest areas w</w:t>
      </w:r>
      <w:r>
        <w:rPr>
          <w:rFonts w:eastAsia="Times New Roman" w:cs="Arial"/>
          <w:spacing w:val="1"/>
        </w:rPr>
        <w:t>ere carry out inspections of possible WKH, cultural and historical objects and possible nesting places of protected bird species. No protected values were identified during field inspections.  </w:t>
      </w:r>
    </w:p>
    <w:p w14:paraId="0A703281" w14:textId="77777777" w:rsidR="00000000" w:rsidRDefault="00052066">
      <w:pPr>
        <w:spacing w:line="260" w:lineRule="atLeast"/>
        <w:divId w:val="962466911"/>
        <w:rPr>
          <w:rFonts w:eastAsia="Times New Roman" w:cs="Arial"/>
          <w:spacing w:val="1"/>
        </w:rPr>
      </w:pPr>
      <w:r>
        <w:rPr>
          <w:rFonts w:eastAsia="Times New Roman" w:cs="Arial"/>
          <w:spacing w:val="1"/>
        </w:rPr>
        <w:t xml:space="preserve">In 2021 in 12 forest areas </w:t>
      </w:r>
      <w:proofErr w:type="gramStart"/>
      <w:r>
        <w:rPr>
          <w:rFonts w:eastAsia="Times New Roman" w:cs="Arial"/>
          <w:spacing w:val="1"/>
        </w:rPr>
        <w:t>were  found</w:t>
      </w:r>
      <w:proofErr w:type="gramEnd"/>
      <w:r>
        <w:rPr>
          <w:rFonts w:eastAsia="Times New Roman" w:cs="Arial"/>
          <w:spacing w:val="1"/>
        </w:rPr>
        <w:t xml:space="preserve"> high biological value o</w:t>
      </w:r>
      <w:r>
        <w:rPr>
          <w:rFonts w:eastAsia="Times New Roman" w:cs="Arial"/>
          <w:spacing w:val="1"/>
        </w:rPr>
        <w:t xml:space="preserve">r protected forest habitats. These </w:t>
      </w:r>
      <w:proofErr w:type="spellStart"/>
      <w:r>
        <w:rPr>
          <w:rFonts w:eastAsia="Times New Roman" w:cs="Arial"/>
          <w:spacing w:val="1"/>
        </w:rPr>
        <w:t>fellings</w:t>
      </w:r>
      <w:proofErr w:type="spellEnd"/>
      <w:r>
        <w:rPr>
          <w:rFonts w:eastAsia="Times New Roman" w:cs="Arial"/>
          <w:spacing w:val="1"/>
        </w:rPr>
        <w:t xml:space="preserve"> have not been purchased</w:t>
      </w:r>
      <w:r>
        <w:rPr>
          <w:rFonts w:eastAsia="Times New Roman" w:cs="Arial"/>
          <w:spacing w:val="1"/>
        </w:rPr>
        <w:t>.</w:t>
      </w:r>
    </w:p>
    <w:p w14:paraId="0D4E2B3A" w14:textId="77777777" w:rsidR="00000000" w:rsidRDefault="00052066">
      <w:pPr>
        <w:spacing w:line="260" w:lineRule="atLeast"/>
        <w:divId w:val="286357630"/>
        <w:rPr>
          <w:rFonts w:eastAsia="Times New Roman" w:cs="Arial"/>
          <w:spacing w:val="1"/>
        </w:rPr>
      </w:pPr>
      <w:r>
        <w:rPr>
          <w:rFonts w:eastAsia="Times New Roman" w:cs="Arial"/>
          <w:spacing w:val="1"/>
        </w:rPr>
        <w:t> </w:t>
      </w:r>
    </w:p>
    <w:p w14:paraId="0ADCFD11" w14:textId="77777777" w:rsidR="00000000" w:rsidRDefault="00052066">
      <w:pPr>
        <w:spacing w:line="260" w:lineRule="atLeast"/>
        <w:divId w:val="336925513"/>
        <w:rPr>
          <w:rFonts w:eastAsia="Times New Roman" w:cs="Arial"/>
          <w:spacing w:val="1"/>
        </w:rPr>
      </w:pPr>
      <w:r>
        <w:rPr>
          <w:rFonts w:eastAsia="Times New Roman" w:cs="Arial"/>
          <w:spacing w:val="1"/>
        </w:rPr>
        <w:t xml:space="preserve">In 2021, 25 occupational safety risk assessments have been performed in felling areas; of which 14 were assessed in felling areas with chainsaws. The main remarks for the observance of </w:t>
      </w:r>
      <w:r>
        <w:rPr>
          <w:rFonts w:eastAsia="Times New Roman" w:cs="Arial"/>
          <w:spacing w:val="1"/>
        </w:rPr>
        <w:t>work safety requirements - incomplete technological map of the felling site, no qualification documents are available at the felling site, incomplete environmental safety equipment</w:t>
      </w:r>
      <w:r>
        <w:rPr>
          <w:rFonts w:eastAsia="Times New Roman" w:cs="Arial"/>
          <w:spacing w:val="1"/>
        </w:rPr>
        <w:t>.</w:t>
      </w:r>
    </w:p>
    <w:p w14:paraId="5AE53EB7" w14:textId="77777777" w:rsidR="00000000" w:rsidRDefault="00052066">
      <w:pPr>
        <w:spacing w:line="260" w:lineRule="atLeast"/>
        <w:divId w:val="1854614143"/>
        <w:rPr>
          <w:rFonts w:eastAsia="Times New Roman" w:cs="Arial"/>
          <w:spacing w:val="1"/>
        </w:rPr>
      </w:pPr>
      <w:r>
        <w:rPr>
          <w:rFonts w:eastAsia="Times New Roman" w:cs="Arial"/>
          <w:spacing w:val="1"/>
        </w:rPr>
        <w:t> </w:t>
      </w:r>
    </w:p>
    <w:p w14:paraId="27A3EA41" w14:textId="77777777" w:rsidR="00000000" w:rsidRDefault="00052066">
      <w:pPr>
        <w:spacing w:line="260" w:lineRule="atLeast"/>
        <w:divId w:val="1785728846"/>
        <w:rPr>
          <w:rFonts w:eastAsia="Times New Roman" w:cs="Arial"/>
          <w:spacing w:val="1"/>
        </w:rPr>
      </w:pPr>
      <w:r>
        <w:rPr>
          <w:rFonts w:eastAsia="Times New Roman" w:cs="Arial"/>
          <w:spacing w:val="1"/>
        </w:rPr>
        <w:lastRenderedPageBreak/>
        <w:t>In 2021, PATA has 6 suppliers of feedstocks for production of SBP-compli</w:t>
      </w:r>
      <w:r>
        <w:rPr>
          <w:rFonts w:eastAsia="Times New Roman" w:cs="Arial"/>
          <w:spacing w:val="1"/>
        </w:rPr>
        <w:t>ant biomass</w:t>
      </w:r>
      <w:r>
        <w:rPr>
          <w:rFonts w:eastAsia="Times New Roman" w:cs="Arial"/>
          <w:spacing w:val="1"/>
        </w:rPr>
        <w:t>.</w:t>
      </w:r>
    </w:p>
    <w:p w14:paraId="062F73B9" w14:textId="66FD47A4" w:rsidR="005415D2" w:rsidRDefault="00083003" w:rsidP="00AF3063">
      <w:pPr>
        <w:pStyle w:val="Heading1"/>
      </w:pPr>
      <w:bookmarkStart w:id="32" w:name="_Toc412646219"/>
      <w:bookmarkStart w:id="33" w:name="_Toc63846090"/>
      <w:r>
        <w:lastRenderedPageBreak/>
        <w:t>Detailed findings for indicators</w:t>
      </w:r>
      <w:bookmarkEnd w:id="32"/>
      <w:bookmarkEnd w:id="33"/>
    </w:p>
    <w:p w14:paraId="65772E36" w14:textId="77777777" w:rsidR="005415D2" w:rsidRDefault="00083003">
      <w:r>
        <w:t xml:space="preserve">Detailed findings for each Indicator are given in Annex 1 in case the Regional Risk Assessment (RRA) is not used. </w:t>
      </w:r>
    </w:p>
    <w:p w14:paraId="2834BBB0" w14:textId="77777777" w:rsidR="005415D2" w:rsidRDefault="00083003">
      <w:pPr>
        <w:spacing w:line="276" w:lineRule="auto"/>
      </w:pPr>
      <w:r>
        <w:rPr>
          <w:b/>
          <w:bCs/>
        </w:rPr>
        <w:t xml:space="preserve">Is RRA used? </w:t>
      </w:r>
      <w:r>
        <w:t>Yes</w:t>
      </w:r>
    </w:p>
    <w:p w14:paraId="0A112243" w14:textId="5AEB9E5E" w:rsidR="005415D2" w:rsidRDefault="00083003" w:rsidP="00AF3063">
      <w:pPr>
        <w:pStyle w:val="Heading1"/>
      </w:pPr>
      <w:bookmarkStart w:id="34" w:name="_Toc412646220"/>
      <w:bookmarkStart w:id="35" w:name="_Toc63846091"/>
      <w:r>
        <w:lastRenderedPageBreak/>
        <w:t>Review of report</w:t>
      </w:r>
      <w:bookmarkEnd w:id="34"/>
      <w:bookmarkEnd w:id="35"/>
    </w:p>
    <w:p w14:paraId="4E5C1737" w14:textId="3EA24A90" w:rsidR="005415D2" w:rsidRDefault="00083003" w:rsidP="000C27C4">
      <w:pPr>
        <w:pStyle w:val="Heading2"/>
      </w:pPr>
      <w:bookmarkStart w:id="36" w:name="_Toc412646221"/>
      <w:bookmarkStart w:id="37" w:name="_Toc63846092"/>
      <w:r>
        <w:t>Peer review</w:t>
      </w:r>
      <w:bookmarkEnd w:id="36"/>
      <w:bookmarkEnd w:id="37"/>
    </w:p>
    <w:p w14:paraId="3DF37FA2" w14:textId="77777777" w:rsidR="005415D2" w:rsidRDefault="00083003">
      <w:r>
        <w:t>No external peer review was carried out.</w:t>
      </w:r>
    </w:p>
    <w:p w14:paraId="41743DD9" w14:textId="41C92B28" w:rsidR="005415D2" w:rsidRDefault="00083003" w:rsidP="000C27C4">
      <w:pPr>
        <w:pStyle w:val="Heading2"/>
      </w:pPr>
      <w:bookmarkStart w:id="38" w:name="_Toc412646222"/>
      <w:bookmarkStart w:id="39" w:name="_Toc63846093"/>
      <w:r>
        <w:t>Public or additional reviews</w:t>
      </w:r>
      <w:bookmarkEnd w:id="38"/>
      <w:bookmarkEnd w:id="39"/>
      <w:r>
        <w:t xml:space="preserve"> </w:t>
      </w:r>
    </w:p>
    <w:p w14:paraId="23757910" w14:textId="77777777" w:rsidR="005415D2" w:rsidRDefault="00083003">
      <w:r>
        <w:t>No additional information for the time being.</w:t>
      </w:r>
    </w:p>
    <w:p w14:paraId="6CB21C5F" w14:textId="2D6DCD53" w:rsidR="005415D2" w:rsidRDefault="00083003" w:rsidP="00AF3063">
      <w:pPr>
        <w:pStyle w:val="Heading1"/>
      </w:pPr>
      <w:bookmarkStart w:id="40" w:name="_Toc412646223"/>
      <w:bookmarkStart w:id="41" w:name="_Toc63846094"/>
      <w:r>
        <w:lastRenderedPageBreak/>
        <w:t>Approval of report</w:t>
      </w:r>
      <w:bookmarkEnd w:id="40"/>
      <w:bookmarkEnd w:id="41"/>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65"/>
        <w:gridCol w:w="2381"/>
        <w:gridCol w:w="2463"/>
        <w:gridCol w:w="3619"/>
      </w:tblGrid>
      <w:tr w:rsidR="005415D2" w14:paraId="391A2A92" w14:textId="77777777" w:rsidTr="002C2A0D">
        <w:trPr>
          <w:trHeight w:val="647"/>
        </w:trPr>
        <w:tc>
          <w:tcPr>
            <w:tcW w:w="9628" w:type="dxa"/>
            <w:gridSpan w:val="4"/>
            <w:tcBorders>
              <w:top w:val="single" w:sz="4" w:space="0" w:color="auto"/>
              <w:left w:val="single" w:sz="4" w:space="0" w:color="auto"/>
              <w:bottom w:val="single" w:sz="4" w:space="0" w:color="auto"/>
              <w:right w:val="single" w:sz="4" w:space="0" w:color="auto"/>
            </w:tcBorders>
            <w:shd w:val="clear" w:color="auto" w:fill="006691"/>
            <w:vAlign w:val="center"/>
            <w:hideMark/>
          </w:tcPr>
          <w:p w14:paraId="07F7663F" w14:textId="77777777" w:rsidR="005415D2" w:rsidRDefault="00083003">
            <w:pPr>
              <w:spacing w:before="120" w:after="0" w:line="240" w:lineRule="auto"/>
              <w:rPr>
                <w:b/>
                <w:lang w:val="en-US"/>
              </w:rPr>
            </w:pPr>
            <w:r>
              <w:rPr>
                <w:b/>
                <w:color w:val="FFFFFF" w:themeColor="background1"/>
                <w:lang w:val="en-US"/>
              </w:rPr>
              <w:t xml:space="preserve">Approval of Supply Base Report by senior management </w:t>
            </w:r>
            <w:r>
              <w:t xml:space="preserve"> </w:t>
            </w:r>
          </w:p>
        </w:tc>
      </w:tr>
      <w:tr w:rsidR="005415D2" w14:paraId="6643B2E8" w14:textId="77777777" w:rsidTr="002C2A0D">
        <w:trPr>
          <w:trHeight w:val="1052"/>
        </w:trPr>
        <w:tc>
          <w:tcPr>
            <w:tcW w:w="1165" w:type="dxa"/>
            <w:vMerge w:val="restart"/>
            <w:tcBorders>
              <w:top w:val="single" w:sz="4" w:space="0" w:color="auto"/>
              <w:left w:val="single" w:sz="4" w:space="0" w:color="auto"/>
              <w:bottom w:val="single" w:sz="4" w:space="0" w:color="auto"/>
              <w:right w:val="single" w:sz="4" w:space="0" w:color="auto"/>
            </w:tcBorders>
            <w:shd w:val="clear" w:color="auto" w:fill="F2F1F1"/>
            <w:vAlign w:val="center"/>
            <w:hideMark/>
          </w:tcPr>
          <w:p w14:paraId="3BDFF8E8" w14:textId="77777777" w:rsidR="005415D2" w:rsidRDefault="00083003">
            <w:pPr>
              <w:spacing w:before="120" w:after="0" w:line="240" w:lineRule="auto"/>
              <w:rPr>
                <w:b/>
                <w:lang w:val="en-US"/>
              </w:rPr>
            </w:pPr>
            <w:r>
              <w:rPr>
                <w:b/>
                <w:lang w:val="en-US"/>
              </w:rPr>
              <w:t>Report Prepared by:</w:t>
            </w:r>
          </w:p>
        </w:tc>
        <w:tc>
          <w:tcPr>
            <w:tcW w:w="2381" w:type="dxa"/>
            <w:tcBorders>
              <w:top w:val="single" w:sz="4" w:space="0" w:color="auto"/>
              <w:left w:val="single" w:sz="4" w:space="0" w:color="auto"/>
              <w:bottom w:val="single" w:sz="4" w:space="0" w:color="auto"/>
              <w:right w:val="single" w:sz="4" w:space="0" w:color="auto"/>
            </w:tcBorders>
            <w:vAlign w:val="center"/>
            <w:hideMark/>
          </w:tcPr>
          <w:p w14:paraId="1A5CBC44" w14:textId="77777777" w:rsidR="005415D2" w:rsidRDefault="00083003">
            <w:pPr>
              <w:spacing w:before="120" w:after="0" w:line="240" w:lineRule="auto"/>
              <w:rPr>
                <w:b/>
                <w:lang w:val="en-US"/>
              </w:rPr>
            </w:pPr>
            <w:r>
              <w:rPr>
                <w:b/>
                <w:lang w:val="en-US"/>
              </w:rPr>
              <w:t>Vita Rudzīte</w:t>
            </w:r>
          </w:p>
        </w:tc>
        <w:tc>
          <w:tcPr>
            <w:tcW w:w="2463" w:type="dxa"/>
            <w:tcBorders>
              <w:top w:val="single" w:sz="4" w:space="0" w:color="auto"/>
              <w:left w:val="single" w:sz="4" w:space="0" w:color="auto"/>
              <w:bottom w:val="single" w:sz="4" w:space="0" w:color="auto"/>
              <w:right w:val="single" w:sz="4" w:space="0" w:color="auto"/>
            </w:tcBorders>
            <w:vAlign w:val="center"/>
            <w:hideMark/>
          </w:tcPr>
          <w:p w14:paraId="72AF4A53" w14:textId="77777777" w:rsidR="005415D2" w:rsidRDefault="00083003">
            <w:pPr>
              <w:spacing w:before="120" w:after="0" w:line="240" w:lineRule="auto"/>
              <w:rPr>
                <w:b/>
                <w:lang w:val="en-US"/>
              </w:rPr>
            </w:pPr>
            <w:r>
              <w:rPr>
                <w:b/>
                <w:lang w:val="en-US"/>
              </w:rPr>
              <w:t>Certification system manager</w:t>
            </w:r>
          </w:p>
        </w:tc>
        <w:tc>
          <w:tcPr>
            <w:tcW w:w="3619" w:type="dxa"/>
            <w:tcBorders>
              <w:top w:val="single" w:sz="4" w:space="0" w:color="auto"/>
              <w:left w:val="single" w:sz="4" w:space="0" w:color="auto"/>
              <w:bottom w:val="single" w:sz="4" w:space="0" w:color="auto"/>
              <w:right w:val="single" w:sz="4" w:space="0" w:color="auto"/>
            </w:tcBorders>
            <w:vAlign w:val="center"/>
            <w:hideMark/>
          </w:tcPr>
          <w:p w14:paraId="49C3593F" w14:textId="77777777" w:rsidR="005415D2" w:rsidRDefault="00083003">
            <w:pPr>
              <w:spacing w:before="120" w:after="0" w:line="240" w:lineRule="auto"/>
              <w:rPr>
                <w:b/>
                <w:lang w:val="en-US"/>
              </w:rPr>
            </w:pPr>
            <w:r>
              <w:rPr>
                <w:b/>
                <w:lang w:val="en-US"/>
              </w:rPr>
              <w:t>14 Apr 2022</w:t>
            </w:r>
          </w:p>
        </w:tc>
      </w:tr>
      <w:tr w:rsidR="005415D2" w14:paraId="6296E8F3" w14:textId="77777777" w:rsidTr="002C2A0D">
        <w:trPr>
          <w:trHeight w:val="413"/>
        </w:trPr>
        <w:tc>
          <w:tcPr>
            <w:tcW w:w="1165" w:type="dxa"/>
            <w:vMerge/>
            <w:tcBorders>
              <w:top w:val="single" w:sz="4" w:space="0" w:color="auto"/>
              <w:left w:val="single" w:sz="4" w:space="0" w:color="auto"/>
              <w:bottom w:val="single" w:sz="4" w:space="0" w:color="auto"/>
              <w:right w:val="single" w:sz="4" w:space="0" w:color="auto"/>
            </w:tcBorders>
            <w:vAlign w:val="center"/>
            <w:hideMark/>
          </w:tcPr>
          <w:p w14:paraId="4E335322" w14:textId="77777777" w:rsidR="005415D2" w:rsidRDefault="005415D2">
            <w:pPr>
              <w:spacing w:after="0" w:line="240" w:lineRule="auto"/>
              <w:rPr>
                <w:b/>
                <w:lang w:val="en-US"/>
              </w:rPr>
            </w:pPr>
          </w:p>
        </w:tc>
        <w:tc>
          <w:tcPr>
            <w:tcW w:w="2381"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22092BED" w14:textId="77777777" w:rsidR="005415D2" w:rsidRDefault="00083003">
            <w:pPr>
              <w:spacing w:before="120" w:after="0" w:line="240" w:lineRule="auto"/>
              <w:rPr>
                <w:b/>
                <w:lang w:val="en-US"/>
              </w:rPr>
            </w:pPr>
            <w:r>
              <w:rPr>
                <w:b/>
                <w:lang w:val="en-US"/>
              </w:rPr>
              <w:t>Name</w:t>
            </w:r>
          </w:p>
        </w:tc>
        <w:tc>
          <w:tcPr>
            <w:tcW w:w="2463"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54E6DE24" w14:textId="77777777" w:rsidR="005415D2" w:rsidRDefault="00083003">
            <w:pPr>
              <w:spacing w:before="120" w:after="0" w:line="240" w:lineRule="auto"/>
              <w:rPr>
                <w:b/>
                <w:lang w:val="en-US"/>
              </w:rPr>
            </w:pPr>
            <w:r>
              <w:rPr>
                <w:b/>
                <w:lang w:val="en-US"/>
              </w:rPr>
              <w:t>Title</w:t>
            </w:r>
          </w:p>
        </w:tc>
        <w:tc>
          <w:tcPr>
            <w:tcW w:w="3619"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37E4EA03" w14:textId="77777777" w:rsidR="005415D2" w:rsidRDefault="00083003">
            <w:pPr>
              <w:spacing w:before="120" w:after="0" w:line="240" w:lineRule="auto"/>
              <w:rPr>
                <w:b/>
                <w:lang w:val="en-US"/>
              </w:rPr>
            </w:pPr>
            <w:r>
              <w:rPr>
                <w:b/>
                <w:lang w:val="en-US"/>
              </w:rPr>
              <w:t>Date</w:t>
            </w:r>
          </w:p>
          <w:p w14:paraId="63F2543F" w14:textId="77777777" w:rsidR="005415D2" w:rsidRDefault="00083003">
            <w:pPr>
              <w:spacing w:after="0" w:line="240" w:lineRule="auto"/>
            </w:pPr>
            <w:r>
              <w:t xml:space="preserve"> </w:t>
            </w:r>
          </w:p>
        </w:tc>
      </w:tr>
      <w:tr w:rsidR="005415D2" w14:paraId="1B056875" w14:textId="77777777" w:rsidTr="002C2A0D">
        <w:trPr>
          <w:trHeight w:val="413"/>
        </w:trPr>
        <w:tc>
          <w:tcPr>
            <w:tcW w:w="1165" w:type="dxa"/>
            <w:tcBorders>
              <w:top w:val="single" w:sz="4" w:space="0" w:color="auto"/>
              <w:left w:val="single" w:sz="4" w:space="0" w:color="auto"/>
              <w:bottom w:val="single" w:sz="4" w:space="0" w:color="auto"/>
              <w:right w:val="single" w:sz="4" w:space="0" w:color="auto"/>
            </w:tcBorders>
            <w:vAlign w:val="center"/>
            <w:hideMark/>
          </w:tcPr>
          <w:p w14:paraId="527399FA" w14:textId="77777777" w:rsidR="005415D2" w:rsidRDefault="005415D2">
            <w:pPr>
              <w:rPr>
                <w:b/>
                <w:lang w:val="en-US"/>
              </w:rPr>
            </w:pPr>
          </w:p>
        </w:tc>
        <w:tc>
          <w:tcPr>
            <w:tcW w:w="2381" w:type="dxa"/>
            <w:tcBorders>
              <w:top w:val="single" w:sz="4" w:space="0" w:color="auto"/>
              <w:left w:val="single" w:sz="4" w:space="0" w:color="auto"/>
              <w:bottom w:val="single" w:sz="4" w:space="0" w:color="auto"/>
              <w:right w:val="single" w:sz="4" w:space="0" w:color="auto"/>
            </w:tcBorders>
            <w:shd w:val="clear" w:color="auto" w:fill="F2F1F1"/>
            <w:vAlign w:val="center"/>
          </w:tcPr>
          <w:p w14:paraId="37E6F4A5" w14:textId="77777777" w:rsidR="005415D2" w:rsidRDefault="005415D2">
            <w:pPr>
              <w:spacing w:before="120" w:after="0" w:line="240" w:lineRule="auto"/>
              <w:rPr>
                <w:b/>
                <w:lang w:val="en-US"/>
              </w:rPr>
            </w:pPr>
          </w:p>
        </w:tc>
        <w:tc>
          <w:tcPr>
            <w:tcW w:w="2463" w:type="dxa"/>
            <w:tcBorders>
              <w:top w:val="single" w:sz="4" w:space="0" w:color="auto"/>
              <w:left w:val="single" w:sz="4" w:space="0" w:color="auto"/>
              <w:bottom w:val="single" w:sz="4" w:space="0" w:color="auto"/>
              <w:right w:val="single" w:sz="4" w:space="0" w:color="auto"/>
            </w:tcBorders>
            <w:shd w:val="clear" w:color="auto" w:fill="F2F1F1"/>
            <w:vAlign w:val="center"/>
          </w:tcPr>
          <w:p w14:paraId="32443C34" w14:textId="77777777" w:rsidR="005415D2" w:rsidRDefault="005415D2">
            <w:pPr>
              <w:spacing w:before="120" w:after="0" w:line="240" w:lineRule="auto"/>
              <w:rPr>
                <w:b/>
                <w:lang w:val="en-US"/>
              </w:rPr>
            </w:pPr>
          </w:p>
        </w:tc>
        <w:tc>
          <w:tcPr>
            <w:tcW w:w="3619" w:type="dxa"/>
            <w:tcBorders>
              <w:top w:val="single" w:sz="4" w:space="0" w:color="auto"/>
              <w:left w:val="single" w:sz="4" w:space="0" w:color="auto"/>
              <w:bottom w:val="single" w:sz="4" w:space="0" w:color="auto"/>
              <w:right w:val="single" w:sz="4" w:space="0" w:color="auto"/>
            </w:tcBorders>
            <w:shd w:val="clear" w:color="auto" w:fill="F2F1F1"/>
            <w:vAlign w:val="center"/>
          </w:tcPr>
          <w:p w14:paraId="7EC65DB2" w14:textId="77777777" w:rsidR="005415D2" w:rsidRDefault="005415D2">
            <w:pPr>
              <w:spacing w:before="120" w:after="0" w:line="240" w:lineRule="auto"/>
              <w:rPr>
                <w:b/>
                <w:lang w:val="en-US"/>
              </w:rPr>
            </w:pPr>
          </w:p>
        </w:tc>
      </w:tr>
      <w:tr w:rsidR="005415D2" w14:paraId="4088F3C0" w14:textId="77777777" w:rsidTr="002C2A0D">
        <w:trPr>
          <w:trHeight w:val="647"/>
        </w:trPr>
        <w:tc>
          <w:tcPr>
            <w:tcW w:w="9628" w:type="dxa"/>
            <w:gridSpan w:val="4"/>
            <w:tcBorders>
              <w:top w:val="single" w:sz="4" w:space="0" w:color="auto"/>
              <w:left w:val="single" w:sz="4" w:space="0" w:color="auto"/>
              <w:bottom w:val="single" w:sz="4" w:space="0" w:color="auto"/>
              <w:right w:val="single" w:sz="4" w:space="0" w:color="auto"/>
            </w:tcBorders>
            <w:shd w:val="clear" w:color="auto" w:fill="F2F1F1"/>
            <w:vAlign w:val="center"/>
            <w:hideMark/>
          </w:tcPr>
          <w:p w14:paraId="39850E78" w14:textId="77777777" w:rsidR="005415D2" w:rsidRDefault="00083003">
            <w:pPr>
              <w:spacing w:before="120" w:after="120" w:line="240" w:lineRule="auto"/>
              <w:rPr>
                <w:b/>
                <w:lang w:val="en-US"/>
              </w:rPr>
            </w:pPr>
            <w:r>
              <w:rPr>
                <w:b/>
                <w:lang w:val="en-US"/>
              </w:rPr>
              <w:t xml:space="preserve">The undersigned persons confirm that I/we are members of the </w:t>
            </w:r>
            <w:proofErr w:type="spellStart"/>
            <w:r>
              <w:rPr>
                <w:b/>
                <w:lang w:val="en-US"/>
              </w:rPr>
              <w:t>organisation’s</w:t>
            </w:r>
            <w:proofErr w:type="spellEnd"/>
            <w:r>
              <w:rPr>
                <w:b/>
                <w:lang w:val="en-US"/>
              </w:rPr>
              <w:t xml:space="preserve"> senior management and do hereby affirm that the contents of this evaluation report were duly acknowledged by senior management as being accurate prior to approval and </w:t>
            </w:r>
            <w:proofErr w:type="spellStart"/>
            <w:r>
              <w:rPr>
                <w:b/>
                <w:lang w:val="en-US"/>
              </w:rPr>
              <w:t>finalisation</w:t>
            </w:r>
            <w:proofErr w:type="spellEnd"/>
            <w:r>
              <w:rPr>
                <w:b/>
                <w:lang w:val="en-US"/>
              </w:rPr>
              <w:t xml:space="preserve"> of the report. </w:t>
            </w:r>
            <w:r>
              <w:t xml:space="preserve"> </w:t>
            </w:r>
          </w:p>
        </w:tc>
      </w:tr>
      <w:tr w:rsidR="005415D2" w14:paraId="41CC7162" w14:textId="77777777" w:rsidTr="002C2A0D">
        <w:trPr>
          <w:trHeight w:val="1178"/>
        </w:trPr>
        <w:tc>
          <w:tcPr>
            <w:tcW w:w="1165" w:type="dxa"/>
            <w:vMerge w:val="restart"/>
            <w:tcBorders>
              <w:top w:val="single" w:sz="4" w:space="0" w:color="auto"/>
              <w:left w:val="single" w:sz="4" w:space="0" w:color="auto"/>
              <w:bottom w:val="single" w:sz="4" w:space="0" w:color="auto"/>
              <w:right w:val="single" w:sz="4" w:space="0" w:color="auto"/>
            </w:tcBorders>
            <w:shd w:val="clear" w:color="auto" w:fill="F2F1F1"/>
            <w:vAlign w:val="center"/>
            <w:hideMark/>
          </w:tcPr>
          <w:p w14:paraId="60FBE4A4" w14:textId="77777777" w:rsidR="005415D2" w:rsidRDefault="00083003">
            <w:pPr>
              <w:spacing w:before="120" w:after="0" w:line="240" w:lineRule="auto"/>
              <w:rPr>
                <w:b/>
                <w:lang w:val="en-US"/>
              </w:rPr>
            </w:pPr>
            <w:r>
              <w:rPr>
                <w:b/>
                <w:lang w:val="en-US"/>
              </w:rPr>
              <w:t>Report approved by:</w:t>
            </w:r>
          </w:p>
        </w:tc>
        <w:tc>
          <w:tcPr>
            <w:tcW w:w="2381" w:type="dxa"/>
            <w:tcBorders>
              <w:top w:val="single" w:sz="4" w:space="0" w:color="auto"/>
              <w:left w:val="single" w:sz="4" w:space="0" w:color="auto"/>
              <w:bottom w:val="single" w:sz="4" w:space="0" w:color="auto"/>
              <w:right w:val="single" w:sz="4" w:space="0" w:color="auto"/>
            </w:tcBorders>
            <w:vAlign w:val="center"/>
            <w:hideMark/>
          </w:tcPr>
          <w:p w14:paraId="3A7F43E4" w14:textId="77777777" w:rsidR="005415D2" w:rsidRDefault="00083003">
            <w:pPr>
              <w:spacing w:before="120" w:after="0" w:line="240" w:lineRule="auto"/>
              <w:rPr>
                <w:b/>
                <w:lang w:val="en-US"/>
              </w:rPr>
            </w:pPr>
            <w:r>
              <w:rPr>
                <w:b/>
                <w:lang w:val="en-US"/>
              </w:rPr>
              <w:t>Jānis Mierkalns</w:t>
            </w:r>
          </w:p>
        </w:tc>
        <w:tc>
          <w:tcPr>
            <w:tcW w:w="2463" w:type="dxa"/>
            <w:tcBorders>
              <w:top w:val="single" w:sz="4" w:space="0" w:color="auto"/>
              <w:left w:val="single" w:sz="4" w:space="0" w:color="auto"/>
              <w:bottom w:val="single" w:sz="4" w:space="0" w:color="auto"/>
              <w:right w:val="single" w:sz="4" w:space="0" w:color="auto"/>
            </w:tcBorders>
            <w:vAlign w:val="center"/>
            <w:hideMark/>
          </w:tcPr>
          <w:p w14:paraId="3F5C5347" w14:textId="77777777" w:rsidR="005415D2" w:rsidRDefault="00083003">
            <w:pPr>
              <w:spacing w:before="120" w:after="0" w:line="240" w:lineRule="auto"/>
              <w:rPr>
                <w:b/>
                <w:lang w:val="en-US"/>
              </w:rPr>
            </w:pPr>
            <w:r>
              <w:rPr>
                <w:b/>
                <w:lang w:val="en-US"/>
              </w:rPr>
              <w:t>Member of the Board</w:t>
            </w:r>
          </w:p>
        </w:tc>
        <w:tc>
          <w:tcPr>
            <w:tcW w:w="3619" w:type="dxa"/>
            <w:tcBorders>
              <w:top w:val="single" w:sz="4" w:space="0" w:color="auto"/>
              <w:left w:val="single" w:sz="4" w:space="0" w:color="auto"/>
              <w:bottom w:val="single" w:sz="4" w:space="0" w:color="auto"/>
              <w:right w:val="single" w:sz="4" w:space="0" w:color="auto"/>
            </w:tcBorders>
            <w:vAlign w:val="center"/>
            <w:hideMark/>
          </w:tcPr>
          <w:p w14:paraId="53F38F47" w14:textId="77777777" w:rsidR="005415D2" w:rsidRDefault="00083003">
            <w:pPr>
              <w:spacing w:before="120" w:after="0" w:line="240" w:lineRule="auto"/>
              <w:rPr>
                <w:b/>
                <w:lang w:val="en-US"/>
              </w:rPr>
            </w:pPr>
            <w:r>
              <w:rPr>
                <w:b/>
                <w:lang w:val="en-US"/>
              </w:rPr>
              <w:t>20 Apr 2022</w:t>
            </w:r>
          </w:p>
        </w:tc>
      </w:tr>
      <w:tr w:rsidR="005415D2" w14:paraId="7BD3FD8A" w14:textId="77777777" w:rsidTr="002C2A0D">
        <w:trPr>
          <w:trHeight w:val="413"/>
        </w:trPr>
        <w:tc>
          <w:tcPr>
            <w:tcW w:w="1165" w:type="dxa"/>
            <w:vMerge/>
            <w:tcBorders>
              <w:top w:val="single" w:sz="4" w:space="0" w:color="auto"/>
              <w:left w:val="single" w:sz="4" w:space="0" w:color="auto"/>
              <w:bottom w:val="single" w:sz="4" w:space="0" w:color="auto"/>
              <w:right w:val="single" w:sz="4" w:space="0" w:color="auto"/>
            </w:tcBorders>
            <w:vAlign w:val="center"/>
            <w:hideMark/>
          </w:tcPr>
          <w:p w14:paraId="5B26873B" w14:textId="77777777" w:rsidR="005415D2" w:rsidRDefault="005415D2">
            <w:pPr>
              <w:spacing w:after="0" w:line="240" w:lineRule="auto"/>
              <w:rPr>
                <w:b/>
                <w:lang w:val="en-US"/>
              </w:rPr>
            </w:pPr>
          </w:p>
        </w:tc>
        <w:tc>
          <w:tcPr>
            <w:tcW w:w="2381"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701EB8F9" w14:textId="77777777" w:rsidR="005415D2" w:rsidRDefault="00083003">
            <w:pPr>
              <w:spacing w:before="120" w:after="0" w:line="240" w:lineRule="auto"/>
              <w:rPr>
                <w:b/>
                <w:lang w:val="en-US"/>
              </w:rPr>
            </w:pPr>
            <w:r>
              <w:rPr>
                <w:b/>
                <w:lang w:val="en-US"/>
              </w:rPr>
              <w:t>Name</w:t>
            </w:r>
          </w:p>
        </w:tc>
        <w:tc>
          <w:tcPr>
            <w:tcW w:w="2463"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65AB20CA" w14:textId="77777777" w:rsidR="005415D2" w:rsidRDefault="00083003">
            <w:pPr>
              <w:spacing w:before="120" w:after="0" w:line="240" w:lineRule="auto"/>
              <w:rPr>
                <w:b/>
                <w:lang w:val="en-US"/>
              </w:rPr>
            </w:pPr>
            <w:r>
              <w:rPr>
                <w:b/>
                <w:lang w:val="en-US"/>
              </w:rPr>
              <w:t>Title</w:t>
            </w:r>
          </w:p>
        </w:tc>
        <w:tc>
          <w:tcPr>
            <w:tcW w:w="3619"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7115DACB" w14:textId="77777777" w:rsidR="005415D2" w:rsidRDefault="00083003">
            <w:pPr>
              <w:spacing w:before="120" w:after="0" w:line="240" w:lineRule="auto"/>
              <w:rPr>
                <w:b/>
                <w:lang w:val="en-US"/>
              </w:rPr>
            </w:pPr>
            <w:r>
              <w:rPr>
                <w:b/>
                <w:lang w:val="en-US"/>
              </w:rPr>
              <w:t>Date</w:t>
            </w:r>
          </w:p>
          <w:p w14:paraId="6E778FC9" w14:textId="77777777" w:rsidR="005415D2" w:rsidRDefault="00083003">
            <w:pPr>
              <w:spacing w:after="0" w:line="240" w:lineRule="auto"/>
            </w:pPr>
            <w:r>
              <w:t xml:space="preserve"> </w:t>
            </w:r>
          </w:p>
        </w:tc>
      </w:tr>
    </w:tbl>
    <w:p w14:paraId="0EB28A27" w14:textId="5F053330" w:rsidR="005415D2" w:rsidRDefault="00083003" w:rsidP="007A2025">
      <w:pPr>
        <w:pStyle w:val="Heading1"/>
        <w:numPr>
          <w:ilvl w:val="0"/>
          <w:numId w:val="0"/>
        </w:numPr>
        <w:ind w:left="360"/>
      </w:pPr>
      <w:bookmarkStart w:id="42" w:name="_Toc63846095"/>
      <w:r>
        <w:lastRenderedPageBreak/>
        <w:t>Annex 1: Detailed findings for Supply Base Evaluation indicators</w:t>
      </w:r>
      <w:bookmarkEnd w:id="42"/>
    </w:p>
    <w:p w14:paraId="008BF084" w14:textId="77777777" w:rsidR="005415D2" w:rsidRDefault="005415D2"/>
    <w:p w14:paraId="1396A6A3" w14:textId="77777777" w:rsidR="005415D2" w:rsidRPr="005B5CFF" w:rsidRDefault="00083003">
      <w:pPr>
        <w:spacing w:after="0" w:line="240" w:lineRule="auto"/>
        <w:rPr>
          <w:rFonts w:cs="Arial"/>
          <w:lang w:val="en-US" w:eastAsia="nl-NL"/>
        </w:rPr>
      </w:pPr>
      <w:r w:rsidRPr="005B5CFF">
        <w:rPr>
          <w:rFonts w:cs="Arial"/>
          <w:lang w:val="en-US" w:eastAsia="nl-NL"/>
        </w:rPr>
        <w:t xml:space="preserve">N/A </w:t>
      </w:r>
    </w:p>
    <w:p w14:paraId="2CDB55B0" w14:textId="77777777" w:rsidR="00083003" w:rsidRDefault="00083003">
      <w:pPr>
        <w:ind w:left="720"/>
        <w:rPr>
          <w:lang w:val="en-US"/>
        </w:rPr>
      </w:pPr>
    </w:p>
    <w:sectPr w:rsidR="00083003">
      <w:pgSz w:w="11906" w:h="16838"/>
      <w:pgMar w:top="1560" w:right="1134" w:bottom="1134" w:left="1134" w:header="1134" w:footer="680" w:gutter="0"/>
      <w:pgNumType w:fmt="lowerRoman"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Montserrat ExtraBold">
    <w:altName w:val="Calibri"/>
    <w:charset w:val="BA"/>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Montserrat">
    <w:altName w:val="Montserrat"/>
    <w:charset w:val="BA"/>
    <w:family w:val="auto"/>
    <w:pitch w:val="variable"/>
    <w:sig w:usb0="2000020F" w:usb1="00000003" w:usb2="00000000" w:usb3="00000000" w:csb0="00000197" w:csb1="00000000"/>
  </w:font>
  <w:font w:name="Montserrat Light">
    <w:altName w:val="Calibri"/>
    <w:charset w:val="BA"/>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4B2"/>
    <w:multiLevelType w:val="hybridMultilevel"/>
    <w:tmpl w:val="A60A4DBE"/>
    <w:lvl w:ilvl="0" w:tplc="CA7CA8C0">
      <w:start w:val="1"/>
      <w:numFmt w:val="lowerLetter"/>
      <w:lvlText w:val="%1."/>
      <w:lvlJc w:val="left"/>
      <w:pPr>
        <w:ind w:left="360" w:hanging="360"/>
      </w:pPr>
      <w:rPr>
        <w:b/>
        <w:bCs/>
      </w:rPr>
    </w:lvl>
    <w:lvl w:ilvl="1" w:tplc="28F823DA">
      <w:numFmt w:val="decimal"/>
      <w:lvlText w:val="-"/>
      <w:lvlJc w:val="left"/>
      <w:pPr>
        <w:ind w:left="1080" w:hanging="360"/>
      </w:pPr>
      <w:rPr>
        <w:rFonts w:ascii="Arial" w:eastAsiaTheme="minorHAnsi" w:hAnsi="Arial" w:cs="Aria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 w15:restartNumberingAfterBreak="0">
    <w:nsid w:val="1AD93868"/>
    <w:multiLevelType w:val="hybridMultilevel"/>
    <w:tmpl w:val="A60A4DBE"/>
    <w:lvl w:ilvl="0" w:tplc="CA7CA8C0">
      <w:start w:val="1"/>
      <w:numFmt w:val="lowerLetter"/>
      <w:lvlText w:val="%1."/>
      <w:lvlJc w:val="left"/>
      <w:pPr>
        <w:ind w:left="360" w:hanging="360"/>
      </w:pPr>
      <w:rPr>
        <w:b/>
        <w:bCs/>
      </w:rPr>
    </w:lvl>
    <w:lvl w:ilvl="1" w:tplc="28F823DA">
      <w:numFmt w:val="decimal"/>
      <w:lvlText w:val="-"/>
      <w:lvlJc w:val="left"/>
      <w:pPr>
        <w:ind w:left="1080" w:hanging="360"/>
      </w:pPr>
      <w:rPr>
        <w:rFonts w:ascii="Arial" w:eastAsiaTheme="minorHAnsi" w:hAnsi="Arial" w:cs="Aria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2A019F9"/>
    <w:multiLevelType w:val="multilevel"/>
    <w:tmpl w:val="65387B76"/>
    <w:styleLink w:val="SBP"/>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E8255D"/>
    <w:multiLevelType w:val="hybridMultilevel"/>
    <w:tmpl w:val="45960FAE"/>
    <w:lvl w:ilvl="0" w:tplc="DAFC8002">
      <w:start w:val="1"/>
      <w:numFmt w:val="bullet"/>
      <w:pStyle w:val="Lijstalinea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5C73E5"/>
    <w:multiLevelType w:val="multilevel"/>
    <w:tmpl w:val="9AFE763E"/>
    <w:lvl w:ilvl="0">
      <w:start w:val="1"/>
      <w:numFmt w:val="decimal"/>
      <w:pStyle w:val="Heading1"/>
      <w:lvlText w:val="%1"/>
      <w:lvlJc w:val="left"/>
      <w:pPr>
        <w:ind w:left="360" w:hanging="360"/>
      </w:pPr>
    </w:lvl>
    <w:lvl w:ilvl="1">
      <w:start w:val="1"/>
      <w:numFmt w:val="decimal"/>
      <w:pStyle w:val="Heading2"/>
      <w:lvlText w:val="%1.%2"/>
      <w:lvlJc w:val="left"/>
      <w:pPr>
        <w:ind w:left="720" w:hanging="360"/>
      </w:pPr>
    </w:lvl>
    <w:lvl w:ilvl="2">
      <w:start w:val="1"/>
      <w:numFmt w:val="decima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76423465">
    <w:abstractNumId w:val="5"/>
  </w:num>
  <w:num w:numId="2" w16cid:durableId="141823002">
    <w:abstractNumId w:val="5"/>
  </w:num>
  <w:num w:numId="3" w16cid:durableId="1218778814">
    <w:abstractNumId w:val="1"/>
  </w:num>
  <w:num w:numId="4" w16cid:durableId="640309831">
    <w:abstractNumId w:val="1"/>
  </w:num>
  <w:num w:numId="5" w16cid:durableId="1026709313">
    <w:abstractNumId w:val="4"/>
  </w:num>
  <w:num w:numId="6" w16cid:durableId="593632157">
    <w:abstractNumId w:val="4"/>
  </w:num>
  <w:num w:numId="7" w16cid:durableId="128019734">
    <w:abstractNumId w:val="6"/>
  </w:num>
  <w:num w:numId="8" w16cid:durableId="40331761">
    <w:abstractNumId w:val="6"/>
  </w:num>
  <w:num w:numId="9" w16cid:durableId="1116485005">
    <w:abstractNumId w:val="0"/>
  </w:num>
  <w:num w:numId="10" w16cid:durableId="51204047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4769868">
    <w:abstractNumId w:val="2"/>
  </w:num>
  <w:num w:numId="12" w16cid:durableId="6419027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2107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hyphenationZone w:val="420"/>
  <w:drawingGridHorizontalSpacing w:val="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39"/>
    <w:rsid w:val="00052066"/>
    <w:rsid w:val="00083003"/>
    <w:rsid w:val="000C27C4"/>
    <w:rsid w:val="002A35D6"/>
    <w:rsid w:val="002C2A0D"/>
    <w:rsid w:val="00495EBC"/>
    <w:rsid w:val="005415D2"/>
    <w:rsid w:val="005559E1"/>
    <w:rsid w:val="0059791E"/>
    <w:rsid w:val="005B5CFF"/>
    <w:rsid w:val="005F2821"/>
    <w:rsid w:val="006C3DE1"/>
    <w:rsid w:val="006C619A"/>
    <w:rsid w:val="00725DC4"/>
    <w:rsid w:val="007A2025"/>
    <w:rsid w:val="00833D61"/>
    <w:rsid w:val="00870755"/>
    <w:rsid w:val="00931148"/>
    <w:rsid w:val="00A23639"/>
    <w:rsid w:val="00A86ADB"/>
    <w:rsid w:val="00AF3063"/>
    <w:rsid w:val="00BD1FFB"/>
    <w:rsid w:val="00E659A8"/>
    <w:rsid w:val="00EC24CB"/>
    <w:rsid w:val="00F748D7"/>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6CD0C"/>
  <w15:chartTrackingRefBased/>
  <w15:docId w15:val="{D61AB833-227B-4CC9-ADCD-BA83CD01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C4"/>
    <w:pPr>
      <w:spacing w:after="200" w:line="312" w:lineRule="auto"/>
    </w:pPr>
    <w:rPr>
      <w:rFonts w:ascii="Arial" w:hAnsi="Arial"/>
    </w:rPr>
  </w:style>
  <w:style w:type="paragraph" w:styleId="Heading1">
    <w:name w:val="heading 1"/>
    <w:basedOn w:val="Normal"/>
    <w:link w:val="Heading1Char"/>
    <w:autoRedefine/>
    <w:qFormat/>
    <w:rsid w:val="00AF3063"/>
    <w:pPr>
      <w:keepNext/>
      <w:keepLines/>
      <w:pageBreakBefore/>
      <w:numPr>
        <w:numId w:val="8"/>
      </w:numPr>
      <w:spacing w:before="480" w:after="240" w:line="276" w:lineRule="auto"/>
      <w:outlineLvl w:val="0"/>
    </w:pPr>
    <w:rPr>
      <w:rFonts w:ascii="Montserrat ExtraBold" w:eastAsiaTheme="majorEastAsia" w:hAnsi="Montserrat ExtraBold" w:cstheme="majorBidi"/>
      <w:bCs/>
      <w:color w:val="006890"/>
      <w:sz w:val="36"/>
      <w:szCs w:val="48"/>
    </w:rPr>
  </w:style>
  <w:style w:type="paragraph" w:styleId="Heading2">
    <w:name w:val="heading 2"/>
    <w:basedOn w:val="Normal"/>
    <w:link w:val="Heading2Char1"/>
    <w:uiPriority w:val="9"/>
    <w:unhideWhenUsed/>
    <w:qFormat/>
    <w:rsid w:val="000C27C4"/>
    <w:pPr>
      <w:numPr>
        <w:ilvl w:val="1"/>
        <w:numId w:val="8"/>
      </w:numPr>
      <w:ind w:left="360"/>
      <w:outlineLvl w:val="1"/>
    </w:pPr>
    <w:rPr>
      <w:rFonts w:ascii="Montserrat ExtraBold" w:eastAsiaTheme="minorEastAsia" w:hAnsi="Montserrat ExtraBold"/>
      <w:color w:val="006891"/>
      <w:sz w:val="32"/>
    </w:rPr>
  </w:style>
  <w:style w:type="paragraph" w:styleId="Heading3">
    <w:name w:val="heading 3"/>
    <w:basedOn w:val="Normal"/>
    <w:link w:val="Heading3Char"/>
    <w:semiHidden/>
    <w:unhideWhenUsed/>
    <w:qFormat/>
    <w:pPr>
      <w:outlineLvl w:val="2"/>
    </w:pPr>
    <w:rPr>
      <w:rFonts w:eastAsiaTheme="minorEastAsia"/>
    </w:rPr>
  </w:style>
  <w:style w:type="paragraph" w:styleId="Heading4">
    <w:name w:val="heading 4"/>
    <w:basedOn w:val="Normal"/>
    <w:link w:val="Heading4Char"/>
    <w:uiPriority w:val="9"/>
    <w:semiHidden/>
    <w:unhideWhenUsed/>
    <w:qFormat/>
    <w:pPr>
      <w:outlineLvl w:val="3"/>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Kop1Char">
    <w:name w:val="Kop 1 Char"/>
    <w:basedOn w:val="DefaultParagraphFont"/>
    <w:link w:val="Kop11"/>
    <w:uiPriority w:val="9"/>
    <w:locked/>
    <w:rPr>
      <w:rFonts w:asciiTheme="majorHAnsi" w:eastAsiaTheme="majorEastAsia" w:hAnsiTheme="majorHAnsi" w:cstheme="majorBidi" w:hint="default"/>
      <w:bCs/>
      <w:color w:val="006890"/>
      <w:sz w:val="48"/>
      <w:szCs w:val="48"/>
    </w:rPr>
  </w:style>
  <w:style w:type="character" w:customStyle="1" w:styleId="Kop2Char">
    <w:name w:val="Kop 2 Char"/>
    <w:basedOn w:val="DefaultParagraphFont"/>
    <w:link w:val="Kop21"/>
    <w:semiHidden/>
    <w:locked/>
    <w:rPr>
      <w:rFonts w:asciiTheme="majorHAnsi" w:eastAsiaTheme="majorEastAsia" w:hAnsiTheme="majorHAnsi" w:cstheme="majorBidi" w:hint="default"/>
      <w:color w:val="3D946D"/>
      <w:sz w:val="36"/>
      <w:szCs w:val="36"/>
    </w:rPr>
  </w:style>
  <w:style w:type="character" w:customStyle="1" w:styleId="Kop3Char">
    <w:name w:val="Kop 3 Char"/>
    <w:basedOn w:val="DefaultParagraphFont"/>
    <w:link w:val="Kop31"/>
    <w:uiPriority w:val="9"/>
    <w:semiHidden/>
    <w:locked/>
    <w:rPr>
      <w:rFonts w:asciiTheme="majorHAnsi" w:eastAsiaTheme="majorEastAsia" w:hAnsiTheme="majorHAnsi" w:cstheme="majorBidi" w:hint="default"/>
      <w:bCs/>
      <w:color w:val="3D946D"/>
      <w:sz w:val="32"/>
      <w:szCs w:val="32"/>
    </w:rPr>
  </w:style>
  <w:style w:type="character" w:customStyle="1" w:styleId="Kop4Char">
    <w:name w:val="Kop 4 Char"/>
    <w:basedOn w:val="DefaultParagraphFont"/>
    <w:link w:val="Kop41"/>
    <w:uiPriority w:val="9"/>
    <w:semiHidden/>
    <w:locked/>
    <w:rPr>
      <w:rFonts w:asciiTheme="majorHAnsi" w:eastAsiaTheme="majorEastAsia" w:hAnsiTheme="majorHAnsi" w:cstheme="majorBidi" w:hint="default"/>
      <w:bCs/>
      <w:iCs/>
      <w:color w:val="3D946D"/>
      <w:sz w:val="28"/>
      <w:szCs w:val="28"/>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tandaard1">
    <w:name w:val="Standaard1"/>
    <w:basedOn w:val="Normal"/>
  </w:style>
  <w:style w:type="paragraph" w:styleId="TOC1">
    <w:name w:val="toc 1"/>
    <w:basedOn w:val="Normal"/>
    <w:next w:val="Standaard1"/>
    <w:autoRedefine/>
    <w:uiPriority w:val="39"/>
    <w:unhideWhenUsed/>
    <w:pPr>
      <w:tabs>
        <w:tab w:val="left" w:pos="567"/>
        <w:tab w:val="right" w:leader="dot" w:pos="9639"/>
      </w:tabs>
      <w:spacing w:after="100"/>
      <w:ind w:left="567" w:hanging="567"/>
    </w:pPr>
    <w:rPr>
      <w:b/>
      <w:noProof/>
    </w:rPr>
  </w:style>
  <w:style w:type="paragraph" w:styleId="TOC2">
    <w:name w:val="toc 2"/>
    <w:basedOn w:val="Normal"/>
    <w:next w:val="Standaard1"/>
    <w:autoRedefine/>
    <w:uiPriority w:val="39"/>
    <w:unhideWhenUsed/>
    <w:pPr>
      <w:tabs>
        <w:tab w:val="left" w:pos="567"/>
        <w:tab w:val="right" w:leader="dot" w:pos="9628"/>
      </w:tabs>
      <w:spacing w:after="100"/>
    </w:pPr>
    <w:rPr>
      <w:noProof/>
    </w:rPr>
  </w:style>
  <w:style w:type="paragraph" w:styleId="TOC3">
    <w:name w:val="toc 3"/>
    <w:basedOn w:val="Normal"/>
    <w:next w:val="Standaard1"/>
    <w:autoRedefine/>
    <w:uiPriority w:val="39"/>
    <w:semiHidden/>
    <w:unhideWhenUsed/>
    <w:pPr>
      <w:tabs>
        <w:tab w:val="left" w:pos="1418"/>
        <w:tab w:val="right" w:leader="dot" w:pos="9628"/>
      </w:tabs>
      <w:spacing w:after="100"/>
      <w:ind w:left="567"/>
    </w:pPr>
    <w:rPr>
      <w:noProof/>
    </w:rPr>
  </w:style>
  <w:style w:type="paragraph" w:styleId="TOC4">
    <w:name w:val="toc 4"/>
    <w:basedOn w:val="Normal"/>
    <w:next w:val="Standaard1"/>
    <w:autoRedefine/>
    <w:uiPriority w:val="39"/>
    <w:semiHidden/>
    <w:unhideWhenUsed/>
    <w:pPr>
      <w:tabs>
        <w:tab w:val="left" w:pos="1701"/>
        <w:tab w:val="right" w:leader="dot" w:pos="9628"/>
      </w:tabs>
      <w:spacing w:after="100"/>
      <w:ind w:left="851"/>
    </w:pPr>
    <w:rPr>
      <w:i/>
      <w:noProof/>
      <w:sz w:val="18"/>
      <w:szCs w:val="18"/>
    </w:rPr>
  </w:style>
  <w:style w:type="paragraph" w:styleId="CommentText">
    <w:name w:val="annotation text"/>
    <w:basedOn w:val="Normal"/>
    <w:link w:val="CommentTextChar"/>
    <w:uiPriority w:val="99"/>
    <w:semiHidden/>
    <w:unhideWhenUsed/>
  </w:style>
  <w:style w:type="character" w:customStyle="1" w:styleId="TekstopmerkingChar">
    <w:name w:val="Tekst opmerking Char"/>
    <w:basedOn w:val="DefaultParagraphFont"/>
    <w:link w:val="Tekstopmerking1"/>
    <w:uiPriority w:val="99"/>
    <w:semiHidden/>
    <w:locked/>
    <w:rPr>
      <w:sz w:val="20"/>
      <w:szCs w:val="20"/>
    </w:rPr>
  </w:style>
  <w:style w:type="paragraph" w:styleId="Header">
    <w:name w:val="header"/>
    <w:basedOn w:val="Normal"/>
    <w:link w:val="HeaderChar"/>
    <w:uiPriority w:val="99"/>
    <w:semiHidden/>
    <w:unhideWhenUsed/>
  </w:style>
  <w:style w:type="character" w:customStyle="1" w:styleId="KoptekstChar">
    <w:name w:val="Koptekst Char"/>
    <w:basedOn w:val="DefaultParagraphFont"/>
    <w:link w:val="Koptekst1"/>
    <w:uiPriority w:val="99"/>
    <w:semiHidden/>
    <w:locked/>
  </w:style>
  <w:style w:type="paragraph" w:styleId="Footer">
    <w:name w:val="footer"/>
    <w:basedOn w:val="Normal"/>
    <w:link w:val="FooterChar"/>
    <w:uiPriority w:val="99"/>
    <w:semiHidden/>
    <w:unhideWhenUsed/>
  </w:style>
  <w:style w:type="character" w:customStyle="1" w:styleId="VoettekstChar">
    <w:name w:val="Voettekst Char"/>
    <w:basedOn w:val="DefaultParagraphFont"/>
    <w:link w:val="Voettekst1"/>
    <w:uiPriority w:val="99"/>
    <w:semiHidden/>
    <w:locked/>
    <w:rPr>
      <w:color w:val="3D946D"/>
      <w:sz w:val="18"/>
      <w:szCs w:val="20"/>
    </w:rPr>
  </w:style>
  <w:style w:type="paragraph" w:styleId="Title">
    <w:name w:val="Title"/>
    <w:basedOn w:val="Normal"/>
    <w:link w:val="TitleChar"/>
    <w:qFormat/>
  </w:style>
  <w:style w:type="character" w:customStyle="1" w:styleId="TitelChar">
    <w:name w:val="Titel Char"/>
    <w:basedOn w:val="DefaultParagraphFont"/>
    <w:rPr>
      <w:rFonts w:asciiTheme="majorHAnsi" w:eastAsiaTheme="majorEastAsia" w:hAnsiTheme="majorHAnsi" w:cstheme="majorBidi" w:hint="default"/>
      <w:spacing w:val="-10"/>
      <w:kern w:val="28"/>
      <w:sz w:val="56"/>
      <w:szCs w:val="56"/>
    </w:rPr>
  </w:style>
  <w:style w:type="paragraph" w:styleId="CommentSubject">
    <w:name w:val="annotation subject"/>
    <w:basedOn w:val="Normal"/>
    <w:link w:val="CommentSubjectChar"/>
    <w:uiPriority w:val="99"/>
    <w:semiHidden/>
    <w:unhideWhenUsed/>
  </w:style>
  <w:style w:type="character" w:customStyle="1" w:styleId="OnderwerpvanopmerkingChar">
    <w:name w:val="Onderwerp van opmerking Char"/>
    <w:basedOn w:val="TekstopmerkingChar"/>
    <w:link w:val="Onderwerpvanopmerking1"/>
    <w:uiPriority w:val="99"/>
    <w:semiHidden/>
    <w:locked/>
    <w:rPr>
      <w:b/>
      <w:bCs/>
      <w:sz w:val="20"/>
      <w:szCs w:val="20"/>
    </w:rPr>
  </w:style>
  <w:style w:type="paragraph" w:styleId="BalloonText">
    <w:name w:val="Balloon Text"/>
    <w:basedOn w:val="Normal"/>
    <w:link w:val="BalloonTextChar"/>
    <w:uiPriority w:val="99"/>
    <w:semiHidden/>
    <w:unhideWhenUsed/>
  </w:style>
  <w:style w:type="character" w:customStyle="1" w:styleId="BallontekstChar">
    <w:name w:val="Ballontekst Char"/>
    <w:basedOn w:val="DefaultParagraphFont"/>
    <w:link w:val="Ballontekst1"/>
    <w:uiPriority w:val="99"/>
    <w:semiHidden/>
    <w:locked/>
    <w:rPr>
      <w:rFonts w:ascii="Tahoma" w:hAnsi="Tahoma" w:cs="Tahoma" w:hint="default"/>
      <w:sz w:val="16"/>
      <w:szCs w:val="16"/>
    </w:rPr>
  </w:style>
  <w:style w:type="paragraph" w:styleId="Revision">
    <w:name w:val="Revision"/>
    <w:uiPriority w:val="99"/>
    <w:semiHidden/>
  </w:style>
  <w:style w:type="paragraph" w:styleId="TOCHeading">
    <w:name w:val="TOC Heading"/>
    <w:next w:val="Standaard1"/>
    <w:uiPriority w:val="39"/>
    <w:semiHidden/>
    <w:unhideWhenUsed/>
    <w:qFormat/>
    <w:pPr>
      <w:spacing w:after="200" w:line="276" w:lineRule="auto"/>
    </w:pPr>
    <w:rPr>
      <w:rFonts w:asciiTheme="majorHAnsi" w:eastAsiaTheme="majorEastAsia" w:hAnsiTheme="majorHAnsi" w:cstheme="majorBidi"/>
      <w:bCs/>
      <w:color w:val="3D946D"/>
      <w:sz w:val="48"/>
      <w:szCs w:val="48"/>
      <w:lang w:val="en-US"/>
    </w:rPr>
  </w:style>
  <w:style w:type="character" w:customStyle="1" w:styleId="Kop5Char">
    <w:name w:val="Kop 5 Char"/>
    <w:aliases w:val="SBR_CH Char"/>
    <w:basedOn w:val="DefaultParagraphFont"/>
    <w:link w:val="Kop51"/>
    <w:uiPriority w:val="9"/>
    <w:semiHidden/>
    <w:locked/>
    <w:rsid w:val="000C27C4"/>
    <w:rPr>
      <w:rFonts w:ascii="Montserrat ExtraBold" w:eastAsiaTheme="majorEastAsia" w:hAnsi="Montserrat ExtraBold" w:cstheme="majorBidi"/>
      <w:color w:val="006691"/>
      <w:sz w:val="28"/>
      <w:szCs w:val="28"/>
    </w:rPr>
  </w:style>
  <w:style w:type="paragraph" w:customStyle="1" w:styleId="Kop51">
    <w:name w:val="Kop 51"/>
    <w:aliases w:val="SBR_CH"/>
    <w:basedOn w:val="Normal"/>
    <w:next w:val="Standaard1"/>
    <w:link w:val="Kop5Char"/>
    <w:autoRedefine/>
    <w:uiPriority w:val="9"/>
    <w:semiHidden/>
    <w:qFormat/>
    <w:rsid w:val="000C27C4"/>
    <w:pPr>
      <w:keepNext/>
      <w:keepLines/>
      <w:spacing w:before="40" w:after="0"/>
      <w:outlineLvl w:val="4"/>
    </w:pPr>
    <w:rPr>
      <w:rFonts w:ascii="Montserrat ExtraBold" w:eastAsiaTheme="majorEastAsia" w:hAnsi="Montserrat ExtraBold" w:cstheme="majorBidi"/>
      <w:color w:val="006691"/>
      <w:sz w:val="28"/>
      <w:szCs w:val="28"/>
    </w:rPr>
  </w:style>
  <w:style w:type="paragraph" w:customStyle="1" w:styleId="Lijstalinea1">
    <w:name w:val="Lijstalinea1"/>
    <w:aliases w:val="Bullet"/>
    <w:basedOn w:val="Normal"/>
    <w:uiPriority w:val="34"/>
    <w:qFormat/>
    <w:pPr>
      <w:numPr>
        <w:numId w:val="2"/>
      </w:numPr>
      <w:ind w:left="426" w:hanging="426"/>
      <w:contextualSpacing/>
    </w:pPr>
  </w:style>
  <w:style w:type="paragraph" w:customStyle="1" w:styleId="Standard1">
    <w:name w:val="Standard1"/>
    <w:basedOn w:val="Normal"/>
  </w:style>
  <w:style w:type="character" w:customStyle="1" w:styleId="IndentedChar">
    <w:name w:val="Indented Char"/>
    <w:basedOn w:val="DefaultParagraphFont"/>
    <w:link w:val="Indented"/>
    <w:locked/>
    <w:rPr>
      <w:sz w:val="20"/>
      <w:szCs w:val="20"/>
    </w:rPr>
  </w:style>
  <w:style w:type="paragraph" w:customStyle="1" w:styleId="Indented">
    <w:name w:val="Indented"/>
    <w:basedOn w:val="Normal"/>
    <w:link w:val="IndentedChar"/>
    <w:qFormat/>
    <w:pPr>
      <w:ind w:left="851"/>
    </w:pPr>
  </w:style>
  <w:style w:type="character" w:customStyle="1" w:styleId="IntentedBulletChar">
    <w:name w:val="Intented Bullet Char"/>
    <w:basedOn w:val="IndentedChar"/>
    <w:link w:val="IntentedBullet"/>
    <w:locked/>
    <w:rPr>
      <w:sz w:val="20"/>
      <w:szCs w:val="20"/>
    </w:rPr>
  </w:style>
  <w:style w:type="paragraph" w:customStyle="1" w:styleId="IntentedBullet">
    <w:name w:val="Intented Bullet"/>
    <w:basedOn w:val="Indented"/>
    <w:link w:val="IntentedBulletChar"/>
    <w:qFormat/>
    <w:pPr>
      <w:numPr>
        <w:numId w:val="4"/>
      </w:numPr>
      <w:ind w:left="1276" w:hanging="425"/>
      <w:contextualSpacing/>
    </w:pPr>
  </w:style>
  <w:style w:type="character" w:customStyle="1" w:styleId="TableChar">
    <w:name w:val="Table Char"/>
    <w:basedOn w:val="DefaultParagraphFont"/>
    <w:link w:val="Table"/>
    <w:locked/>
    <w:rPr>
      <w:sz w:val="18"/>
      <w:szCs w:val="18"/>
    </w:rPr>
  </w:style>
  <w:style w:type="paragraph" w:customStyle="1" w:styleId="Table">
    <w:name w:val="Table"/>
    <w:basedOn w:val="Normal"/>
    <w:link w:val="TableChar"/>
    <w:qFormat/>
    <w:pPr>
      <w:spacing w:before="120" w:after="120" w:line="276" w:lineRule="auto"/>
    </w:pPr>
    <w:rPr>
      <w:sz w:val="18"/>
      <w:szCs w:val="18"/>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TableBulletChar">
    <w:name w:val="Table Bullet Char"/>
    <w:basedOn w:val="TableChar"/>
    <w:link w:val="TableBullet"/>
    <w:locked/>
    <w:rPr>
      <w:sz w:val="18"/>
      <w:szCs w:val="18"/>
    </w:rPr>
  </w:style>
  <w:style w:type="paragraph" w:customStyle="1" w:styleId="TableBullet">
    <w:name w:val="Table Bullet"/>
    <w:basedOn w:val="Table"/>
    <w:link w:val="TableBulletChar"/>
    <w:qFormat/>
    <w:pPr>
      <w:numPr>
        <w:numId w:val="6"/>
      </w:numPr>
      <w:ind w:left="318" w:hanging="284"/>
      <w:contextualSpacing/>
    </w:pPr>
  </w:style>
  <w:style w:type="character" w:customStyle="1" w:styleId="berschrift1Zchn">
    <w:name w:val="Überschrift 1 Zchn"/>
    <w:basedOn w:val="DefaultParagraphFont"/>
    <w:link w:val="berschrift11"/>
    <w:locked/>
    <w:rPr>
      <w:rFonts w:asciiTheme="majorHAnsi" w:eastAsiaTheme="majorEastAsia" w:hAnsiTheme="majorHAnsi" w:cstheme="majorBidi" w:hint="default"/>
      <w:color w:val="2F5496" w:themeColor="accent1" w:themeShade="BF"/>
      <w:sz w:val="32"/>
      <w:szCs w:val="32"/>
    </w:rPr>
  </w:style>
  <w:style w:type="paragraph" w:customStyle="1" w:styleId="berschrift11">
    <w:name w:val="Überschrift 11"/>
    <w:basedOn w:val="Normal"/>
    <w:link w:val="berschrift1Zchn"/>
  </w:style>
  <w:style w:type="character" w:customStyle="1" w:styleId="berschrift4Zchn">
    <w:name w:val="Überschrift 4 Zchn"/>
    <w:basedOn w:val="DefaultParagraphFont"/>
    <w:link w:val="berschrift41"/>
    <w:uiPriority w:val="9"/>
    <w:semiHidden/>
    <w:locked/>
    <w:rPr>
      <w:rFonts w:asciiTheme="majorHAnsi" w:eastAsiaTheme="majorEastAsia" w:hAnsiTheme="majorHAnsi" w:cstheme="majorBidi" w:hint="default"/>
      <w:i/>
      <w:iCs/>
      <w:color w:val="2F5496" w:themeColor="accent1" w:themeShade="BF"/>
    </w:rPr>
  </w:style>
  <w:style w:type="paragraph" w:customStyle="1" w:styleId="berschrift41">
    <w:name w:val="Überschrift 41"/>
    <w:basedOn w:val="Normal"/>
    <w:link w:val="berschrift4Zchn"/>
  </w:style>
  <w:style w:type="character" w:customStyle="1" w:styleId="KommentartextZchn">
    <w:name w:val="Kommentartext Zchn"/>
    <w:basedOn w:val="DefaultParagraphFont"/>
    <w:link w:val="Kommentartext1"/>
    <w:uiPriority w:val="99"/>
    <w:semiHidden/>
    <w:locked/>
  </w:style>
  <w:style w:type="paragraph" w:customStyle="1" w:styleId="Kommentartext1">
    <w:name w:val="Kommentartext1"/>
    <w:basedOn w:val="Normal"/>
    <w:link w:val="KommentartextZchn"/>
  </w:style>
  <w:style w:type="character" w:customStyle="1" w:styleId="KopfzeileZchn">
    <w:name w:val="Kopfzeile Zchn"/>
    <w:basedOn w:val="DefaultParagraphFont"/>
    <w:link w:val="Kopfzeile1"/>
    <w:uiPriority w:val="99"/>
    <w:locked/>
  </w:style>
  <w:style w:type="paragraph" w:customStyle="1" w:styleId="Kopfzeile1">
    <w:name w:val="Kopfzeile1"/>
    <w:basedOn w:val="Normal"/>
    <w:link w:val="KopfzeileZchn"/>
  </w:style>
  <w:style w:type="character" w:customStyle="1" w:styleId="FuzeileZchn">
    <w:name w:val="Fußzeile Zchn"/>
    <w:basedOn w:val="DefaultParagraphFont"/>
    <w:link w:val="Fuzeile1"/>
    <w:uiPriority w:val="99"/>
    <w:locked/>
  </w:style>
  <w:style w:type="paragraph" w:customStyle="1" w:styleId="Fuzeile1">
    <w:name w:val="Fußzeile1"/>
    <w:basedOn w:val="Normal"/>
    <w:link w:val="FuzeileZchn"/>
  </w:style>
  <w:style w:type="character" w:customStyle="1" w:styleId="SprechblasentextZchn">
    <w:name w:val="Sprechblasentext Zchn"/>
    <w:basedOn w:val="DefaultParagraphFont"/>
    <w:link w:val="Sprechblasentext1"/>
    <w:uiPriority w:val="99"/>
    <w:semiHidden/>
    <w:locked/>
    <w:rPr>
      <w:rFonts w:ascii="Segoe UI" w:hAnsi="Segoe UI" w:cs="Segoe UI" w:hint="default"/>
      <w:sz w:val="18"/>
      <w:szCs w:val="18"/>
    </w:rPr>
  </w:style>
  <w:style w:type="paragraph" w:customStyle="1" w:styleId="Sprechblasentext1">
    <w:name w:val="Sprechblasentext1"/>
    <w:basedOn w:val="Normal"/>
    <w:link w:val="SprechblasentextZchn"/>
  </w:style>
  <w:style w:type="character" w:customStyle="1" w:styleId="KommentarthemaZchn">
    <w:name w:val="Kommentarthema Zchn"/>
    <w:basedOn w:val="KommentartextZchn"/>
    <w:link w:val="Kommentarthema1"/>
    <w:uiPriority w:val="99"/>
    <w:semiHidden/>
    <w:locked/>
    <w:rPr>
      <w:b/>
      <w:bCs/>
    </w:rPr>
  </w:style>
  <w:style w:type="paragraph" w:customStyle="1" w:styleId="Kommentarthema1">
    <w:name w:val="Kommentarthema1"/>
    <w:basedOn w:val="Normal"/>
    <w:link w:val="KommentarthemaZchn"/>
  </w:style>
  <w:style w:type="character" w:customStyle="1" w:styleId="berschrift2Zchn">
    <w:name w:val="Überschrift 2 Zchn"/>
    <w:basedOn w:val="DefaultParagraphFont"/>
    <w:link w:val="berschrift21"/>
    <w:semiHidden/>
    <w:locked/>
    <w:rPr>
      <w:rFonts w:asciiTheme="majorHAnsi" w:eastAsiaTheme="majorEastAsia" w:hAnsiTheme="majorHAnsi" w:cstheme="majorBidi" w:hint="default"/>
      <w:color w:val="2F5496" w:themeColor="accent1" w:themeShade="BF"/>
      <w:sz w:val="26"/>
      <w:szCs w:val="26"/>
    </w:rPr>
  </w:style>
  <w:style w:type="paragraph" w:customStyle="1" w:styleId="berschrift21">
    <w:name w:val="Überschrift 21"/>
    <w:basedOn w:val="Normal"/>
    <w:link w:val="berschrift2Zchn"/>
  </w:style>
  <w:style w:type="character" w:customStyle="1" w:styleId="berschrift3Zchn">
    <w:name w:val="Überschrift 3 Zchn"/>
    <w:basedOn w:val="DefaultParagraphFont"/>
    <w:link w:val="berschrift31"/>
    <w:semiHidden/>
    <w:locked/>
    <w:rPr>
      <w:rFonts w:asciiTheme="majorHAnsi" w:eastAsiaTheme="majorEastAsia" w:hAnsiTheme="majorHAnsi" w:cstheme="majorBidi" w:hint="default"/>
      <w:color w:val="1F3763" w:themeColor="accent1" w:themeShade="7F"/>
      <w:sz w:val="24"/>
      <w:szCs w:val="24"/>
    </w:rPr>
  </w:style>
  <w:style w:type="paragraph" w:customStyle="1" w:styleId="berschrift31">
    <w:name w:val="Überschrift 31"/>
    <w:basedOn w:val="Normal"/>
    <w:link w:val="berschrift3Zchn"/>
  </w:style>
  <w:style w:type="paragraph" w:customStyle="1" w:styleId="Kop11">
    <w:name w:val="Kop 11"/>
    <w:basedOn w:val="Normal"/>
    <w:link w:val="Kop1Char"/>
  </w:style>
  <w:style w:type="paragraph" w:customStyle="1" w:styleId="Kop21">
    <w:name w:val="Kop 21"/>
    <w:basedOn w:val="Normal"/>
    <w:link w:val="Kop2Char"/>
  </w:style>
  <w:style w:type="paragraph" w:customStyle="1" w:styleId="Kop31">
    <w:name w:val="Kop 31"/>
    <w:basedOn w:val="Normal"/>
    <w:link w:val="Kop3Char"/>
  </w:style>
  <w:style w:type="paragraph" w:customStyle="1" w:styleId="Kop41">
    <w:name w:val="Kop 41"/>
    <w:basedOn w:val="Normal"/>
    <w:link w:val="Kop4Char"/>
  </w:style>
  <w:style w:type="paragraph" w:customStyle="1" w:styleId="Tekstopmerking1">
    <w:name w:val="Tekst opmerking1"/>
    <w:basedOn w:val="Normal"/>
    <w:link w:val="TekstopmerkingChar"/>
  </w:style>
  <w:style w:type="paragraph" w:customStyle="1" w:styleId="Koptekst1">
    <w:name w:val="Koptekst1"/>
    <w:basedOn w:val="Normal"/>
    <w:link w:val="KoptekstChar"/>
  </w:style>
  <w:style w:type="paragraph" w:customStyle="1" w:styleId="Voettekst1">
    <w:name w:val="Voettekst1"/>
    <w:basedOn w:val="Normal"/>
    <w:link w:val="VoettekstChar"/>
  </w:style>
  <w:style w:type="paragraph" w:customStyle="1" w:styleId="Onderwerpvanopmerking1">
    <w:name w:val="Onderwerp van opmerking1"/>
    <w:basedOn w:val="Normal"/>
    <w:link w:val="OnderwerpvanopmerkingChar"/>
  </w:style>
  <w:style w:type="paragraph" w:customStyle="1" w:styleId="Ballontekst1">
    <w:name w:val="Ballontekst1"/>
    <w:basedOn w:val="Normal"/>
    <w:link w:val="BallontekstChar"/>
  </w:style>
  <w:style w:type="character" w:customStyle="1" w:styleId="SubheadingChar">
    <w:name w:val="Sub heading Char"/>
    <w:basedOn w:val="Kop4Char"/>
    <w:link w:val="Subheading"/>
    <w:locked/>
    <w:rPr>
      <w:rFonts w:asciiTheme="majorHAnsi" w:eastAsiaTheme="majorEastAsia" w:hAnsiTheme="majorHAnsi" w:cstheme="majorBidi" w:hint="default"/>
      <w:bCs/>
      <w:iCs/>
      <w:color w:val="8AB059"/>
      <w:sz w:val="28"/>
      <w:szCs w:val="28"/>
    </w:rPr>
  </w:style>
  <w:style w:type="paragraph" w:customStyle="1" w:styleId="Subheading">
    <w:name w:val="Sub heading"/>
    <w:basedOn w:val="Kop41"/>
    <w:link w:val="SubheadingChar"/>
    <w:qFormat/>
    <w:pPr>
      <w:keepNext/>
      <w:keepLines/>
      <w:spacing w:before="240" w:after="120"/>
      <w:outlineLvl w:val="3"/>
    </w:pPr>
    <w:rPr>
      <w:rFonts w:asciiTheme="majorHAnsi" w:eastAsiaTheme="majorEastAsia" w:hAnsiTheme="majorHAnsi" w:cstheme="majorBidi"/>
      <w:bCs/>
      <w:iCs/>
      <w:color w:val="8AB059"/>
      <w:sz w:val="28"/>
      <w:szCs w:val="28"/>
    </w:rPr>
  </w:style>
  <w:style w:type="character" w:customStyle="1" w:styleId="TitelChar1">
    <w:name w:val="Titel Char1"/>
    <w:basedOn w:val="DefaultParagraphFont"/>
    <w:link w:val="Titel1"/>
    <w:locked/>
    <w:rPr>
      <w:rFonts w:ascii="Georgia" w:eastAsiaTheme="majorEastAsia" w:hAnsi="Georgia" w:cstheme="majorBidi" w:hint="default"/>
      <w:color w:val="3D946D"/>
      <w:spacing w:val="5"/>
      <w:kern w:val="28"/>
      <w:sz w:val="80"/>
      <w:szCs w:val="80"/>
    </w:rPr>
  </w:style>
  <w:style w:type="paragraph" w:customStyle="1" w:styleId="Titel1">
    <w:name w:val="Titel1"/>
    <w:basedOn w:val="Normal"/>
    <w:link w:val="TitelChar1"/>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locked/>
    <w:rsid w:val="00AF3063"/>
    <w:rPr>
      <w:rFonts w:ascii="Montserrat ExtraBold" w:eastAsiaTheme="majorEastAsia" w:hAnsi="Montserrat ExtraBold" w:cstheme="majorBidi"/>
      <w:bCs/>
      <w:color w:val="006890"/>
      <w:sz w:val="36"/>
      <w:szCs w:val="48"/>
    </w:rPr>
  </w:style>
  <w:style w:type="character" w:customStyle="1" w:styleId="Heading2Char1">
    <w:name w:val="Heading 2 Char1"/>
    <w:basedOn w:val="DefaultParagraphFont"/>
    <w:link w:val="Heading2"/>
    <w:locked/>
    <w:rsid w:val="000C27C4"/>
    <w:rPr>
      <w:rFonts w:ascii="Montserrat ExtraBold" w:eastAsiaTheme="minorEastAsia" w:hAnsi="Montserrat ExtraBold"/>
      <w:color w:val="006891"/>
      <w:sz w:val="32"/>
    </w:rPr>
  </w:style>
  <w:style w:type="character" w:customStyle="1" w:styleId="Heading3Char">
    <w:name w:val="Heading 3 Char"/>
    <w:basedOn w:val="DefaultParagraphFont"/>
    <w:link w:val="Heading3"/>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rPr>
  </w:style>
  <w:style w:type="character" w:customStyle="1" w:styleId="CommentTextChar">
    <w:name w:val="Comment Text Char"/>
    <w:basedOn w:val="DefaultParagraphFont"/>
    <w:link w:val="CommentText"/>
    <w:uiPriority w:val="99"/>
    <w:semiHidden/>
    <w:locked/>
  </w:style>
  <w:style w:type="character" w:customStyle="1" w:styleId="HeaderChar">
    <w:name w:val="Header Char"/>
    <w:basedOn w:val="DefaultParagraphFont"/>
    <w:link w:val="Header"/>
    <w:uiPriority w:val="99"/>
    <w:semiHidden/>
    <w:locked/>
  </w:style>
  <w:style w:type="character" w:customStyle="1" w:styleId="FooterChar">
    <w:name w:val="Footer Char"/>
    <w:basedOn w:val="DefaultParagraphFont"/>
    <w:link w:val="Footer"/>
    <w:uiPriority w:val="99"/>
    <w:semiHidden/>
    <w:locked/>
  </w:style>
  <w:style w:type="character" w:customStyle="1" w:styleId="TitleChar">
    <w:name w:val="Title Char"/>
    <w:basedOn w:val="DefaultParagraphFont"/>
    <w:link w:val="Title"/>
    <w:locked/>
    <w:rPr>
      <w:rFonts w:asciiTheme="majorHAnsi" w:eastAsiaTheme="majorEastAsia" w:hAnsiTheme="majorHAnsi" w:cstheme="majorBidi" w:hint="default"/>
      <w:spacing w:val="-10"/>
      <w:kern w:val="28"/>
      <w:sz w:val="56"/>
      <w:szCs w:val="56"/>
    </w:rPr>
  </w:style>
  <w:style w:type="character" w:customStyle="1" w:styleId="CommentSubjectChar">
    <w:name w:val="Comment Subject Char"/>
    <w:basedOn w:val="CommentTextChar"/>
    <w:link w:val="CommentSubject"/>
    <w:uiPriority w:val="99"/>
    <w:semiHidden/>
    <w:locked/>
    <w:rPr>
      <w:b/>
      <w:bCs/>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character" w:customStyle="1" w:styleId="Kop5Char1">
    <w:name w:val="Kop 5 Char1"/>
    <w:aliases w:val="SBR_CH Char1"/>
    <w:basedOn w:val="DefaultParagraphFont"/>
    <w:uiPriority w:val="9"/>
    <w:semiHidden/>
    <w:rPr>
      <w:rFonts w:asciiTheme="majorHAnsi" w:eastAsiaTheme="majorEastAsia" w:hAnsiTheme="majorHAnsi" w:cstheme="majorBidi" w:hint="default"/>
      <w:color w:val="2F5496" w:themeColor="accent1" w:themeShade="BF"/>
    </w:rPr>
  </w:style>
  <w:style w:type="character" w:customStyle="1" w:styleId="TitelZchn">
    <w:name w:val="Titel Zchn"/>
    <w:basedOn w:val="DefaultParagraphFont"/>
    <w:locked/>
    <w:rPr>
      <w:rFonts w:asciiTheme="majorHAnsi" w:eastAsiaTheme="majorEastAsia" w:hAnsiTheme="majorHAnsi" w:cstheme="majorBidi" w:hint="default"/>
      <w:spacing w:val="-10"/>
      <w:kern w:val="28"/>
      <w:sz w:val="56"/>
      <w:szCs w:val="56"/>
    </w:rPr>
  </w:style>
  <w:style w:type="character" w:customStyle="1" w:styleId="UnresolvedMention1">
    <w:name w:val="Unresolved Mention1"/>
    <w:basedOn w:val="DefaultParagraphFont"/>
    <w:uiPriority w:val="99"/>
    <w:rPr>
      <w:color w:val="605E5C"/>
      <w:shd w:val="clear" w:color="auto" w:fill="E1DFDD"/>
    </w:rPr>
  </w:style>
  <w:style w:type="character" w:customStyle="1" w:styleId="CHNAMESBPTitle">
    <w:name w:val="CHNAME_SBP_Title"/>
    <w:basedOn w:val="DefaultParagraphFont"/>
    <w:uiPriority w:val="1"/>
    <w:rPr>
      <w:rFonts w:ascii="Georgia" w:eastAsiaTheme="majorEastAsia" w:hAnsi="Georgia" w:cstheme="majorBidi" w:hint="default"/>
      <w:color w:val="006691"/>
      <w:spacing w:val="5"/>
      <w:kern w:val="28"/>
      <w:sz w:val="80"/>
      <w:szCs w:val="80"/>
    </w:rPr>
  </w:style>
  <w:style w:type="character" w:customStyle="1" w:styleId="AuditTypeSBP">
    <w:name w:val="Audit_Type_SBP"/>
    <w:basedOn w:val="DefaultParagraphFont"/>
    <w:uiPriority w:val="1"/>
    <w:rPr>
      <w:color w:val="006691"/>
    </w:rPr>
  </w:style>
  <w:style w:type="character" w:customStyle="1" w:styleId="SBRCHNAME">
    <w:name w:val="SBR_CH_NAME"/>
    <w:basedOn w:val="CHNAMESBPTitle"/>
    <w:uiPriority w:val="1"/>
    <w:rPr>
      <w:rFonts w:ascii="Georgia" w:eastAsiaTheme="majorEastAsia" w:hAnsi="Georgia" w:cstheme="majorBidi" w:hint="default"/>
      <w:color w:val="006691"/>
      <w:spacing w:val="5"/>
      <w:kern w:val="28"/>
      <w:sz w:val="80"/>
      <w:szCs w:val="80"/>
    </w:rPr>
  </w:style>
  <w:style w:type="character" w:customStyle="1" w:styleId="SBRAuditType">
    <w:name w:val="SBR_Audit_Type"/>
    <w:basedOn w:val="AuditTypeSBP"/>
    <w:uiPriority w:val="1"/>
    <w:rPr>
      <w:color w:val="006691"/>
    </w:rPr>
  </w:style>
  <w:style w:type="character" w:customStyle="1" w:styleId="NEWSBRCH">
    <w:name w:val="NEW_SBR_CH"/>
    <w:uiPriority w:val="1"/>
    <w:rPr>
      <w:rFonts w:asciiTheme="majorHAnsi" w:hAnsiTheme="majorHAnsi" w:cs="Calibri Light" w:hint="default"/>
      <w:vanish/>
      <w:webHidden w:val="0"/>
      <w:color w:val="00698C"/>
      <w:sz w:val="80"/>
      <w:specVanish/>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ardtabel1">
    <w:name w:val="Standaardtabel1"/>
    <w:uiPriority w:val="99"/>
    <w:semiHidden/>
    <w:tblPr>
      <w:tblCellMar>
        <w:top w:w="0" w:type="dxa"/>
        <w:left w:w="108" w:type="dxa"/>
        <w:bottom w:w="0" w:type="dxa"/>
        <w:right w:w="108" w:type="dxa"/>
      </w:tblCellMar>
    </w:tblPr>
  </w:style>
  <w:style w:type="numbering" w:customStyle="1" w:styleId="SBP">
    <w:name w:val="SBP"/>
    <w:uiPriority w:val="99"/>
    <w:pPr>
      <w:numPr>
        <w:numId w:val="13"/>
      </w:numPr>
    </w:pPr>
  </w:style>
  <w:style w:type="character" w:customStyle="1" w:styleId="Heading2Char">
    <w:name w:val="Heading 2 Char"/>
    <w:basedOn w:val="DefaultParagraphFont"/>
    <w:uiPriority w:val="9"/>
    <w:semiHidden/>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234">
      <w:bodyDiv w:val="1"/>
      <w:marLeft w:val="0"/>
      <w:marRight w:val="0"/>
      <w:marTop w:val="0"/>
      <w:marBottom w:val="0"/>
      <w:divBdr>
        <w:top w:val="none" w:sz="0" w:space="0" w:color="auto"/>
        <w:left w:val="none" w:sz="0" w:space="0" w:color="auto"/>
        <w:bottom w:val="none" w:sz="0" w:space="0" w:color="auto"/>
        <w:right w:val="none" w:sz="0" w:space="0" w:color="auto"/>
      </w:divBdr>
      <w:divsChild>
        <w:div w:id="1705859155">
          <w:marLeft w:val="0"/>
          <w:marRight w:val="0"/>
          <w:marTop w:val="0"/>
          <w:marBottom w:val="0"/>
          <w:divBdr>
            <w:top w:val="none" w:sz="0" w:space="0" w:color="auto"/>
            <w:left w:val="none" w:sz="0" w:space="0" w:color="auto"/>
            <w:bottom w:val="none" w:sz="0" w:space="0" w:color="auto"/>
            <w:right w:val="none" w:sz="0" w:space="0" w:color="auto"/>
          </w:divBdr>
          <w:divsChild>
            <w:div w:id="3178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8">
      <w:bodyDiv w:val="1"/>
      <w:marLeft w:val="0"/>
      <w:marRight w:val="0"/>
      <w:marTop w:val="0"/>
      <w:marBottom w:val="0"/>
      <w:divBdr>
        <w:top w:val="none" w:sz="0" w:space="0" w:color="auto"/>
        <w:left w:val="none" w:sz="0" w:space="0" w:color="auto"/>
        <w:bottom w:val="none" w:sz="0" w:space="0" w:color="auto"/>
        <w:right w:val="none" w:sz="0" w:space="0" w:color="auto"/>
      </w:divBdr>
      <w:divsChild>
        <w:div w:id="864096731">
          <w:marLeft w:val="0"/>
          <w:marRight w:val="0"/>
          <w:marTop w:val="0"/>
          <w:marBottom w:val="0"/>
          <w:divBdr>
            <w:top w:val="none" w:sz="0" w:space="0" w:color="auto"/>
            <w:left w:val="none" w:sz="0" w:space="0" w:color="auto"/>
            <w:bottom w:val="none" w:sz="0" w:space="0" w:color="auto"/>
            <w:right w:val="none" w:sz="0" w:space="0" w:color="auto"/>
          </w:divBdr>
          <w:divsChild>
            <w:div w:id="17169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3853">
      <w:bodyDiv w:val="1"/>
      <w:marLeft w:val="0"/>
      <w:marRight w:val="0"/>
      <w:marTop w:val="0"/>
      <w:marBottom w:val="0"/>
      <w:divBdr>
        <w:top w:val="none" w:sz="0" w:space="0" w:color="auto"/>
        <w:left w:val="none" w:sz="0" w:space="0" w:color="auto"/>
        <w:bottom w:val="none" w:sz="0" w:space="0" w:color="auto"/>
        <w:right w:val="none" w:sz="0" w:space="0" w:color="auto"/>
      </w:divBdr>
      <w:divsChild>
        <w:div w:id="656108068">
          <w:marLeft w:val="0"/>
          <w:marRight w:val="0"/>
          <w:marTop w:val="0"/>
          <w:marBottom w:val="0"/>
          <w:divBdr>
            <w:top w:val="none" w:sz="0" w:space="0" w:color="auto"/>
            <w:left w:val="none" w:sz="0" w:space="0" w:color="auto"/>
            <w:bottom w:val="none" w:sz="0" w:space="0" w:color="auto"/>
            <w:right w:val="none" w:sz="0" w:space="0" w:color="auto"/>
          </w:divBdr>
          <w:divsChild>
            <w:div w:id="326830986">
              <w:marLeft w:val="0"/>
              <w:marRight w:val="0"/>
              <w:marTop w:val="0"/>
              <w:marBottom w:val="0"/>
              <w:divBdr>
                <w:top w:val="none" w:sz="0" w:space="0" w:color="auto"/>
                <w:left w:val="none" w:sz="0" w:space="0" w:color="auto"/>
                <w:bottom w:val="none" w:sz="0" w:space="0" w:color="auto"/>
                <w:right w:val="none" w:sz="0" w:space="0" w:color="auto"/>
              </w:divBdr>
            </w:div>
            <w:div w:id="656227859">
              <w:marLeft w:val="0"/>
              <w:marRight w:val="0"/>
              <w:marTop w:val="0"/>
              <w:marBottom w:val="0"/>
              <w:divBdr>
                <w:top w:val="none" w:sz="0" w:space="0" w:color="auto"/>
                <w:left w:val="none" w:sz="0" w:space="0" w:color="auto"/>
                <w:bottom w:val="none" w:sz="0" w:space="0" w:color="auto"/>
                <w:right w:val="none" w:sz="0" w:space="0" w:color="auto"/>
              </w:divBdr>
            </w:div>
            <w:div w:id="1786999005">
              <w:marLeft w:val="0"/>
              <w:marRight w:val="0"/>
              <w:marTop w:val="0"/>
              <w:marBottom w:val="0"/>
              <w:divBdr>
                <w:top w:val="none" w:sz="0" w:space="0" w:color="auto"/>
                <w:left w:val="none" w:sz="0" w:space="0" w:color="auto"/>
                <w:bottom w:val="none" w:sz="0" w:space="0" w:color="auto"/>
                <w:right w:val="none" w:sz="0" w:space="0" w:color="auto"/>
              </w:divBdr>
            </w:div>
            <w:div w:id="1823694200">
              <w:marLeft w:val="0"/>
              <w:marRight w:val="0"/>
              <w:marTop w:val="0"/>
              <w:marBottom w:val="0"/>
              <w:divBdr>
                <w:top w:val="none" w:sz="0" w:space="0" w:color="auto"/>
                <w:left w:val="none" w:sz="0" w:space="0" w:color="auto"/>
                <w:bottom w:val="none" w:sz="0" w:space="0" w:color="auto"/>
                <w:right w:val="none" w:sz="0" w:space="0" w:color="auto"/>
              </w:divBdr>
            </w:div>
            <w:div w:id="1504470037">
              <w:marLeft w:val="0"/>
              <w:marRight w:val="0"/>
              <w:marTop w:val="0"/>
              <w:marBottom w:val="0"/>
              <w:divBdr>
                <w:top w:val="none" w:sz="0" w:space="0" w:color="auto"/>
                <w:left w:val="none" w:sz="0" w:space="0" w:color="auto"/>
                <w:bottom w:val="none" w:sz="0" w:space="0" w:color="auto"/>
                <w:right w:val="none" w:sz="0" w:space="0" w:color="auto"/>
              </w:divBdr>
            </w:div>
            <w:div w:id="739793193">
              <w:marLeft w:val="0"/>
              <w:marRight w:val="0"/>
              <w:marTop w:val="0"/>
              <w:marBottom w:val="0"/>
              <w:divBdr>
                <w:top w:val="none" w:sz="0" w:space="0" w:color="auto"/>
                <w:left w:val="none" w:sz="0" w:space="0" w:color="auto"/>
                <w:bottom w:val="none" w:sz="0" w:space="0" w:color="auto"/>
                <w:right w:val="none" w:sz="0" w:space="0" w:color="auto"/>
              </w:divBdr>
            </w:div>
            <w:div w:id="277222518">
              <w:marLeft w:val="0"/>
              <w:marRight w:val="0"/>
              <w:marTop w:val="0"/>
              <w:marBottom w:val="0"/>
              <w:divBdr>
                <w:top w:val="none" w:sz="0" w:space="0" w:color="auto"/>
                <w:left w:val="none" w:sz="0" w:space="0" w:color="auto"/>
                <w:bottom w:val="none" w:sz="0" w:space="0" w:color="auto"/>
                <w:right w:val="none" w:sz="0" w:space="0" w:color="auto"/>
              </w:divBdr>
            </w:div>
            <w:div w:id="237909784">
              <w:marLeft w:val="0"/>
              <w:marRight w:val="0"/>
              <w:marTop w:val="0"/>
              <w:marBottom w:val="0"/>
              <w:divBdr>
                <w:top w:val="none" w:sz="0" w:space="0" w:color="auto"/>
                <w:left w:val="none" w:sz="0" w:space="0" w:color="auto"/>
                <w:bottom w:val="none" w:sz="0" w:space="0" w:color="auto"/>
                <w:right w:val="none" w:sz="0" w:space="0" w:color="auto"/>
              </w:divBdr>
            </w:div>
            <w:div w:id="605430615">
              <w:marLeft w:val="0"/>
              <w:marRight w:val="0"/>
              <w:marTop w:val="0"/>
              <w:marBottom w:val="0"/>
              <w:divBdr>
                <w:top w:val="none" w:sz="0" w:space="0" w:color="auto"/>
                <w:left w:val="none" w:sz="0" w:space="0" w:color="auto"/>
                <w:bottom w:val="none" w:sz="0" w:space="0" w:color="auto"/>
                <w:right w:val="none" w:sz="0" w:space="0" w:color="auto"/>
              </w:divBdr>
            </w:div>
            <w:div w:id="1149709576">
              <w:marLeft w:val="0"/>
              <w:marRight w:val="0"/>
              <w:marTop w:val="0"/>
              <w:marBottom w:val="0"/>
              <w:divBdr>
                <w:top w:val="none" w:sz="0" w:space="0" w:color="auto"/>
                <w:left w:val="none" w:sz="0" w:space="0" w:color="auto"/>
                <w:bottom w:val="none" w:sz="0" w:space="0" w:color="auto"/>
                <w:right w:val="none" w:sz="0" w:space="0" w:color="auto"/>
              </w:divBdr>
            </w:div>
            <w:div w:id="273443254">
              <w:marLeft w:val="0"/>
              <w:marRight w:val="0"/>
              <w:marTop w:val="0"/>
              <w:marBottom w:val="0"/>
              <w:divBdr>
                <w:top w:val="none" w:sz="0" w:space="0" w:color="auto"/>
                <w:left w:val="none" w:sz="0" w:space="0" w:color="auto"/>
                <w:bottom w:val="none" w:sz="0" w:space="0" w:color="auto"/>
                <w:right w:val="none" w:sz="0" w:space="0" w:color="auto"/>
              </w:divBdr>
            </w:div>
            <w:div w:id="357433619">
              <w:marLeft w:val="0"/>
              <w:marRight w:val="0"/>
              <w:marTop w:val="0"/>
              <w:marBottom w:val="0"/>
              <w:divBdr>
                <w:top w:val="none" w:sz="0" w:space="0" w:color="auto"/>
                <w:left w:val="none" w:sz="0" w:space="0" w:color="auto"/>
                <w:bottom w:val="none" w:sz="0" w:space="0" w:color="auto"/>
                <w:right w:val="none" w:sz="0" w:space="0" w:color="auto"/>
              </w:divBdr>
            </w:div>
            <w:div w:id="1165244849">
              <w:marLeft w:val="0"/>
              <w:marRight w:val="0"/>
              <w:marTop w:val="0"/>
              <w:marBottom w:val="0"/>
              <w:divBdr>
                <w:top w:val="none" w:sz="0" w:space="0" w:color="auto"/>
                <w:left w:val="none" w:sz="0" w:space="0" w:color="auto"/>
                <w:bottom w:val="none" w:sz="0" w:space="0" w:color="auto"/>
                <w:right w:val="none" w:sz="0" w:space="0" w:color="auto"/>
              </w:divBdr>
            </w:div>
            <w:div w:id="1439645571">
              <w:marLeft w:val="0"/>
              <w:marRight w:val="0"/>
              <w:marTop w:val="0"/>
              <w:marBottom w:val="0"/>
              <w:divBdr>
                <w:top w:val="none" w:sz="0" w:space="0" w:color="auto"/>
                <w:left w:val="none" w:sz="0" w:space="0" w:color="auto"/>
                <w:bottom w:val="none" w:sz="0" w:space="0" w:color="auto"/>
                <w:right w:val="none" w:sz="0" w:space="0" w:color="auto"/>
              </w:divBdr>
            </w:div>
            <w:div w:id="756024528">
              <w:marLeft w:val="0"/>
              <w:marRight w:val="0"/>
              <w:marTop w:val="0"/>
              <w:marBottom w:val="0"/>
              <w:divBdr>
                <w:top w:val="none" w:sz="0" w:space="0" w:color="auto"/>
                <w:left w:val="none" w:sz="0" w:space="0" w:color="auto"/>
                <w:bottom w:val="none" w:sz="0" w:space="0" w:color="auto"/>
                <w:right w:val="none" w:sz="0" w:space="0" w:color="auto"/>
              </w:divBdr>
            </w:div>
            <w:div w:id="684552800">
              <w:marLeft w:val="0"/>
              <w:marRight w:val="0"/>
              <w:marTop w:val="0"/>
              <w:marBottom w:val="0"/>
              <w:divBdr>
                <w:top w:val="none" w:sz="0" w:space="0" w:color="auto"/>
                <w:left w:val="none" w:sz="0" w:space="0" w:color="auto"/>
                <w:bottom w:val="none" w:sz="0" w:space="0" w:color="auto"/>
                <w:right w:val="none" w:sz="0" w:space="0" w:color="auto"/>
              </w:divBdr>
            </w:div>
            <w:div w:id="1903368208">
              <w:marLeft w:val="0"/>
              <w:marRight w:val="0"/>
              <w:marTop w:val="0"/>
              <w:marBottom w:val="0"/>
              <w:divBdr>
                <w:top w:val="none" w:sz="0" w:space="0" w:color="auto"/>
                <w:left w:val="none" w:sz="0" w:space="0" w:color="auto"/>
                <w:bottom w:val="none" w:sz="0" w:space="0" w:color="auto"/>
                <w:right w:val="none" w:sz="0" w:space="0" w:color="auto"/>
              </w:divBdr>
            </w:div>
            <w:div w:id="1057707750">
              <w:marLeft w:val="0"/>
              <w:marRight w:val="0"/>
              <w:marTop w:val="0"/>
              <w:marBottom w:val="0"/>
              <w:divBdr>
                <w:top w:val="none" w:sz="0" w:space="0" w:color="auto"/>
                <w:left w:val="none" w:sz="0" w:space="0" w:color="auto"/>
                <w:bottom w:val="none" w:sz="0" w:space="0" w:color="auto"/>
                <w:right w:val="none" w:sz="0" w:space="0" w:color="auto"/>
              </w:divBdr>
            </w:div>
            <w:div w:id="1545601328">
              <w:marLeft w:val="0"/>
              <w:marRight w:val="0"/>
              <w:marTop w:val="0"/>
              <w:marBottom w:val="0"/>
              <w:divBdr>
                <w:top w:val="none" w:sz="0" w:space="0" w:color="auto"/>
                <w:left w:val="none" w:sz="0" w:space="0" w:color="auto"/>
                <w:bottom w:val="none" w:sz="0" w:space="0" w:color="auto"/>
                <w:right w:val="none" w:sz="0" w:space="0" w:color="auto"/>
              </w:divBdr>
            </w:div>
            <w:div w:id="573853409">
              <w:marLeft w:val="0"/>
              <w:marRight w:val="0"/>
              <w:marTop w:val="0"/>
              <w:marBottom w:val="0"/>
              <w:divBdr>
                <w:top w:val="none" w:sz="0" w:space="0" w:color="auto"/>
                <w:left w:val="none" w:sz="0" w:space="0" w:color="auto"/>
                <w:bottom w:val="none" w:sz="0" w:space="0" w:color="auto"/>
                <w:right w:val="none" w:sz="0" w:space="0" w:color="auto"/>
              </w:divBdr>
            </w:div>
            <w:div w:id="634145952">
              <w:marLeft w:val="0"/>
              <w:marRight w:val="0"/>
              <w:marTop w:val="0"/>
              <w:marBottom w:val="0"/>
              <w:divBdr>
                <w:top w:val="none" w:sz="0" w:space="0" w:color="auto"/>
                <w:left w:val="none" w:sz="0" w:space="0" w:color="auto"/>
                <w:bottom w:val="none" w:sz="0" w:space="0" w:color="auto"/>
                <w:right w:val="none" w:sz="0" w:space="0" w:color="auto"/>
              </w:divBdr>
            </w:div>
            <w:div w:id="630356079">
              <w:marLeft w:val="0"/>
              <w:marRight w:val="0"/>
              <w:marTop w:val="0"/>
              <w:marBottom w:val="0"/>
              <w:divBdr>
                <w:top w:val="none" w:sz="0" w:space="0" w:color="auto"/>
                <w:left w:val="none" w:sz="0" w:space="0" w:color="auto"/>
                <w:bottom w:val="none" w:sz="0" w:space="0" w:color="auto"/>
                <w:right w:val="none" w:sz="0" w:space="0" w:color="auto"/>
              </w:divBdr>
            </w:div>
            <w:div w:id="1454591523">
              <w:marLeft w:val="0"/>
              <w:marRight w:val="0"/>
              <w:marTop w:val="0"/>
              <w:marBottom w:val="0"/>
              <w:divBdr>
                <w:top w:val="none" w:sz="0" w:space="0" w:color="auto"/>
                <w:left w:val="none" w:sz="0" w:space="0" w:color="auto"/>
                <w:bottom w:val="none" w:sz="0" w:space="0" w:color="auto"/>
                <w:right w:val="none" w:sz="0" w:space="0" w:color="auto"/>
              </w:divBdr>
            </w:div>
            <w:div w:id="620184053">
              <w:marLeft w:val="0"/>
              <w:marRight w:val="0"/>
              <w:marTop w:val="0"/>
              <w:marBottom w:val="0"/>
              <w:divBdr>
                <w:top w:val="none" w:sz="0" w:space="0" w:color="auto"/>
                <w:left w:val="none" w:sz="0" w:space="0" w:color="auto"/>
                <w:bottom w:val="none" w:sz="0" w:space="0" w:color="auto"/>
                <w:right w:val="none" w:sz="0" w:space="0" w:color="auto"/>
              </w:divBdr>
            </w:div>
            <w:div w:id="1980307362">
              <w:marLeft w:val="0"/>
              <w:marRight w:val="0"/>
              <w:marTop w:val="0"/>
              <w:marBottom w:val="0"/>
              <w:divBdr>
                <w:top w:val="none" w:sz="0" w:space="0" w:color="auto"/>
                <w:left w:val="none" w:sz="0" w:space="0" w:color="auto"/>
                <w:bottom w:val="none" w:sz="0" w:space="0" w:color="auto"/>
                <w:right w:val="none" w:sz="0" w:space="0" w:color="auto"/>
              </w:divBdr>
            </w:div>
            <w:div w:id="871068805">
              <w:marLeft w:val="0"/>
              <w:marRight w:val="0"/>
              <w:marTop w:val="0"/>
              <w:marBottom w:val="0"/>
              <w:divBdr>
                <w:top w:val="none" w:sz="0" w:space="0" w:color="auto"/>
                <w:left w:val="none" w:sz="0" w:space="0" w:color="auto"/>
                <w:bottom w:val="none" w:sz="0" w:space="0" w:color="auto"/>
                <w:right w:val="none" w:sz="0" w:space="0" w:color="auto"/>
              </w:divBdr>
            </w:div>
            <w:div w:id="1039738911">
              <w:marLeft w:val="0"/>
              <w:marRight w:val="0"/>
              <w:marTop w:val="0"/>
              <w:marBottom w:val="0"/>
              <w:divBdr>
                <w:top w:val="none" w:sz="0" w:space="0" w:color="auto"/>
                <w:left w:val="none" w:sz="0" w:space="0" w:color="auto"/>
                <w:bottom w:val="none" w:sz="0" w:space="0" w:color="auto"/>
                <w:right w:val="none" w:sz="0" w:space="0" w:color="auto"/>
              </w:divBdr>
            </w:div>
            <w:div w:id="907301780">
              <w:marLeft w:val="0"/>
              <w:marRight w:val="0"/>
              <w:marTop w:val="0"/>
              <w:marBottom w:val="0"/>
              <w:divBdr>
                <w:top w:val="none" w:sz="0" w:space="0" w:color="auto"/>
                <w:left w:val="none" w:sz="0" w:space="0" w:color="auto"/>
                <w:bottom w:val="none" w:sz="0" w:space="0" w:color="auto"/>
                <w:right w:val="none" w:sz="0" w:space="0" w:color="auto"/>
              </w:divBdr>
            </w:div>
            <w:div w:id="22902103">
              <w:marLeft w:val="0"/>
              <w:marRight w:val="0"/>
              <w:marTop w:val="0"/>
              <w:marBottom w:val="0"/>
              <w:divBdr>
                <w:top w:val="none" w:sz="0" w:space="0" w:color="auto"/>
                <w:left w:val="none" w:sz="0" w:space="0" w:color="auto"/>
                <w:bottom w:val="none" w:sz="0" w:space="0" w:color="auto"/>
                <w:right w:val="none" w:sz="0" w:space="0" w:color="auto"/>
              </w:divBdr>
            </w:div>
            <w:div w:id="1088229692">
              <w:marLeft w:val="0"/>
              <w:marRight w:val="0"/>
              <w:marTop w:val="0"/>
              <w:marBottom w:val="0"/>
              <w:divBdr>
                <w:top w:val="none" w:sz="0" w:space="0" w:color="auto"/>
                <w:left w:val="none" w:sz="0" w:space="0" w:color="auto"/>
                <w:bottom w:val="none" w:sz="0" w:space="0" w:color="auto"/>
                <w:right w:val="none" w:sz="0" w:space="0" w:color="auto"/>
              </w:divBdr>
            </w:div>
            <w:div w:id="946814640">
              <w:marLeft w:val="0"/>
              <w:marRight w:val="0"/>
              <w:marTop w:val="0"/>
              <w:marBottom w:val="0"/>
              <w:divBdr>
                <w:top w:val="none" w:sz="0" w:space="0" w:color="auto"/>
                <w:left w:val="none" w:sz="0" w:space="0" w:color="auto"/>
                <w:bottom w:val="none" w:sz="0" w:space="0" w:color="auto"/>
                <w:right w:val="none" w:sz="0" w:space="0" w:color="auto"/>
              </w:divBdr>
            </w:div>
            <w:div w:id="936250117">
              <w:marLeft w:val="0"/>
              <w:marRight w:val="0"/>
              <w:marTop w:val="0"/>
              <w:marBottom w:val="0"/>
              <w:divBdr>
                <w:top w:val="none" w:sz="0" w:space="0" w:color="auto"/>
                <w:left w:val="none" w:sz="0" w:space="0" w:color="auto"/>
                <w:bottom w:val="none" w:sz="0" w:space="0" w:color="auto"/>
                <w:right w:val="none" w:sz="0" w:space="0" w:color="auto"/>
              </w:divBdr>
            </w:div>
            <w:div w:id="1332294695">
              <w:marLeft w:val="0"/>
              <w:marRight w:val="0"/>
              <w:marTop w:val="0"/>
              <w:marBottom w:val="0"/>
              <w:divBdr>
                <w:top w:val="none" w:sz="0" w:space="0" w:color="auto"/>
                <w:left w:val="none" w:sz="0" w:space="0" w:color="auto"/>
                <w:bottom w:val="none" w:sz="0" w:space="0" w:color="auto"/>
                <w:right w:val="none" w:sz="0" w:space="0" w:color="auto"/>
              </w:divBdr>
            </w:div>
            <w:div w:id="1681812937">
              <w:marLeft w:val="0"/>
              <w:marRight w:val="0"/>
              <w:marTop w:val="0"/>
              <w:marBottom w:val="0"/>
              <w:divBdr>
                <w:top w:val="none" w:sz="0" w:space="0" w:color="auto"/>
                <w:left w:val="none" w:sz="0" w:space="0" w:color="auto"/>
                <w:bottom w:val="none" w:sz="0" w:space="0" w:color="auto"/>
                <w:right w:val="none" w:sz="0" w:space="0" w:color="auto"/>
              </w:divBdr>
            </w:div>
            <w:div w:id="1825051867">
              <w:marLeft w:val="0"/>
              <w:marRight w:val="0"/>
              <w:marTop w:val="0"/>
              <w:marBottom w:val="0"/>
              <w:divBdr>
                <w:top w:val="none" w:sz="0" w:space="0" w:color="auto"/>
                <w:left w:val="none" w:sz="0" w:space="0" w:color="auto"/>
                <w:bottom w:val="none" w:sz="0" w:space="0" w:color="auto"/>
                <w:right w:val="none" w:sz="0" w:space="0" w:color="auto"/>
              </w:divBdr>
            </w:div>
            <w:div w:id="574978491">
              <w:marLeft w:val="0"/>
              <w:marRight w:val="0"/>
              <w:marTop w:val="0"/>
              <w:marBottom w:val="0"/>
              <w:divBdr>
                <w:top w:val="none" w:sz="0" w:space="0" w:color="auto"/>
                <w:left w:val="none" w:sz="0" w:space="0" w:color="auto"/>
                <w:bottom w:val="none" w:sz="0" w:space="0" w:color="auto"/>
                <w:right w:val="none" w:sz="0" w:space="0" w:color="auto"/>
              </w:divBdr>
            </w:div>
            <w:div w:id="8125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4005">
      <w:bodyDiv w:val="1"/>
      <w:marLeft w:val="0"/>
      <w:marRight w:val="0"/>
      <w:marTop w:val="0"/>
      <w:marBottom w:val="0"/>
      <w:divBdr>
        <w:top w:val="none" w:sz="0" w:space="0" w:color="auto"/>
        <w:left w:val="none" w:sz="0" w:space="0" w:color="auto"/>
        <w:bottom w:val="none" w:sz="0" w:space="0" w:color="auto"/>
        <w:right w:val="none" w:sz="0" w:space="0" w:color="auto"/>
      </w:divBdr>
      <w:divsChild>
        <w:div w:id="2055419921">
          <w:marLeft w:val="0"/>
          <w:marRight w:val="0"/>
          <w:marTop w:val="0"/>
          <w:marBottom w:val="0"/>
          <w:divBdr>
            <w:top w:val="none" w:sz="0" w:space="0" w:color="auto"/>
            <w:left w:val="none" w:sz="0" w:space="0" w:color="auto"/>
            <w:bottom w:val="none" w:sz="0" w:space="0" w:color="auto"/>
            <w:right w:val="none" w:sz="0" w:space="0" w:color="auto"/>
          </w:divBdr>
          <w:divsChild>
            <w:div w:id="2965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4255">
      <w:bodyDiv w:val="1"/>
      <w:marLeft w:val="0"/>
      <w:marRight w:val="0"/>
      <w:marTop w:val="0"/>
      <w:marBottom w:val="0"/>
      <w:divBdr>
        <w:top w:val="none" w:sz="0" w:space="0" w:color="auto"/>
        <w:left w:val="none" w:sz="0" w:space="0" w:color="auto"/>
        <w:bottom w:val="none" w:sz="0" w:space="0" w:color="auto"/>
        <w:right w:val="none" w:sz="0" w:space="0" w:color="auto"/>
      </w:divBdr>
      <w:divsChild>
        <w:div w:id="1012297836">
          <w:marLeft w:val="0"/>
          <w:marRight w:val="0"/>
          <w:marTop w:val="0"/>
          <w:marBottom w:val="0"/>
          <w:divBdr>
            <w:top w:val="none" w:sz="0" w:space="0" w:color="auto"/>
            <w:left w:val="none" w:sz="0" w:space="0" w:color="auto"/>
            <w:bottom w:val="none" w:sz="0" w:space="0" w:color="auto"/>
            <w:right w:val="none" w:sz="0" w:space="0" w:color="auto"/>
          </w:divBdr>
          <w:divsChild>
            <w:div w:id="18800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302">
      <w:bodyDiv w:val="1"/>
      <w:marLeft w:val="0"/>
      <w:marRight w:val="0"/>
      <w:marTop w:val="0"/>
      <w:marBottom w:val="0"/>
      <w:divBdr>
        <w:top w:val="none" w:sz="0" w:space="0" w:color="auto"/>
        <w:left w:val="none" w:sz="0" w:space="0" w:color="auto"/>
        <w:bottom w:val="none" w:sz="0" w:space="0" w:color="auto"/>
        <w:right w:val="none" w:sz="0" w:space="0" w:color="auto"/>
      </w:divBdr>
      <w:divsChild>
        <w:div w:id="1856991253">
          <w:marLeft w:val="0"/>
          <w:marRight w:val="0"/>
          <w:marTop w:val="0"/>
          <w:marBottom w:val="0"/>
          <w:divBdr>
            <w:top w:val="none" w:sz="0" w:space="0" w:color="auto"/>
            <w:left w:val="none" w:sz="0" w:space="0" w:color="auto"/>
            <w:bottom w:val="none" w:sz="0" w:space="0" w:color="auto"/>
            <w:right w:val="none" w:sz="0" w:space="0" w:color="auto"/>
          </w:divBdr>
          <w:divsChild>
            <w:div w:id="1961183235">
              <w:marLeft w:val="0"/>
              <w:marRight w:val="0"/>
              <w:marTop w:val="0"/>
              <w:marBottom w:val="0"/>
              <w:divBdr>
                <w:top w:val="none" w:sz="0" w:space="0" w:color="auto"/>
                <w:left w:val="none" w:sz="0" w:space="0" w:color="auto"/>
                <w:bottom w:val="none" w:sz="0" w:space="0" w:color="auto"/>
                <w:right w:val="none" w:sz="0" w:space="0" w:color="auto"/>
              </w:divBdr>
            </w:div>
            <w:div w:id="730350576">
              <w:marLeft w:val="0"/>
              <w:marRight w:val="0"/>
              <w:marTop w:val="0"/>
              <w:marBottom w:val="0"/>
              <w:divBdr>
                <w:top w:val="none" w:sz="0" w:space="0" w:color="auto"/>
                <w:left w:val="none" w:sz="0" w:space="0" w:color="auto"/>
                <w:bottom w:val="none" w:sz="0" w:space="0" w:color="auto"/>
                <w:right w:val="none" w:sz="0" w:space="0" w:color="auto"/>
              </w:divBdr>
            </w:div>
            <w:div w:id="1826624009">
              <w:marLeft w:val="0"/>
              <w:marRight w:val="0"/>
              <w:marTop w:val="0"/>
              <w:marBottom w:val="0"/>
              <w:divBdr>
                <w:top w:val="none" w:sz="0" w:space="0" w:color="auto"/>
                <w:left w:val="none" w:sz="0" w:space="0" w:color="auto"/>
                <w:bottom w:val="none" w:sz="0" w:space="0" w:color="auto"/>
                <w:right w:val="none" w:sz="0" w:space="0" w:color="auto"/>
              </w:divBdr>
            </w:div>
            <w:div w:id="29258315">
              <w:marLeft w:val="0"/>
              <w:marRight w:val="0"/>
              <w:marTop w:val="0"/>
              <w:marBottom w:val="0"/>
              <w:divBdr>
                <w:top w:val="none" w:sz="0" w:space="0" w:color="auto"/>
                <w:left w:val="none" w:sz="0" w:space="0" w:color="auto"/>
                <w:bottom w:val="none" w:sz="0" w:space="0" w:color="auto"/>
                <w:right w:val="none" w:sz="0" w:space="0" w:color="auto"/>
              </w:divBdr>
            </w:div>
            <w:div w:id="1489436879">
              <w:marLeft w:val="0"/>
              <w:marRight w:val="0"/>
              <w:marTop w:val="0"/>
              <w:marBottom w:val="0"/>
              <w:divBdr>
                <w:top w:val="none" w:sz="0" w:space="0" w:color="auto"/>
                <w:left w:val="none" w:sz="0" w:space="0" w:color="auto"/>
                <w:bottom w:val="none" w:sz="0" w:space="0" w:color="auto"/>
                <w:right w:val="none" w:sz="0" w:space="0" w:color="auto"/>
              </w:divBdr>
            </w:div>
            <w:div w:id="2118331240">
              <w:marLeft w:val="0"/>
              <w:marRight w:val="0"/>
              <w:marTop w:val="0"/>
              <w:marBottom w:val="0"/>
              <w:divBdr>
                <w:top w:val="none" w:sz="0" w:space="0" w:color="auto"/>
                <w:left w:val="none" w:sz="0" w:space="0" w:color="auto"/>
                <w:bottom w:val="none" w:sz="0" w:space="0" w:color="auto"/>
                <w:right w:val="none" w:sz="0" w:space="0" w:color="auto"/>
              </w:divBdr>
            </w:div>
            <w:div w:id="14956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07866">
      <w:bodyDiv w:val="1"/>
      <w:marLeft w:val="0"/>
      <w:marRight w:val="0"/>
      <w:marTop w:val="0"/>
      <w:marBottom w:val="0"/>
      <w:divBdr>
        <w:top w:val="none" w:sz="0" w:space="0" w:color="auto"/>
        <w:left w:val="none" w:sz="0" w:space="0" w:color="auto"/>
        <w:bottom w:val="none" w:sz="0" w:space="0" w:color="auto"/>
        <w:right w:val="none" w:sz="0" w:space="0" w:color="auto"/>
      </w:divBdr>
      <w:divsChild>
        <w:div w:id="1464810754">
          <w:marLeft w:val="0"/>
          <w:marRight w:val="0"/>
          <w:marTop w:val="0"/>
          <w:marBottom w:val="0"/>
          <w:divBdr>
            <w:top w:val="none" w:sz="0" w:space="0" w:color="auto"/>
            <w:left w:val="none" w:sz="0" w:space="0" w:color="auto"/>
            <w:bottom w:val="none" w:sz="0" w:space="0" w:color="auto"/>
            <w:right w:val="none" w:sz="0" w:space="0" w:color="auto"/>
          </w:divBdr>
        </w:div>
      </w:divsChild>
    </w:div>
    <w:div w:id="424613294">
      <w:bodyDiv w:val="1"/>
      <w:marLeft w:val="0"/>
      <w:marRight w:val="0"/>
      <w:marTop w:val="0"/>
      <w:marBottom w:val="0"/>
      <w:divBdr>
        <w:top w:val="none" w:sz="0" w:space="0" w:color="auto"/>
        <w:left w:val="none" w:sz="0" w:space="0" w:color="auto"/>
        <w:bottom w:val="none" w:sz="0" w:space="0" w:color="auto"/>
        <w:right w:val="none" w:sz="0" w:space="0" w:color="auto"/>
      </w:divBdr>
      <w:divsChild>
        <w:div w:id="1210074424">
          <w:marLeft w:val="0"/>
          <w:marRight w:val="0"/>
          <w:marTop w:val="0"/>
          <w:marBottom w:val="0"/>
          <w:divBdr>
            <w:top w:val="none" w:sz="0" w:space="0" w:color="auto"/>
            <w:left w:val="none" w:sz="0" w:space="0" w:color="auto"/>
            <w:bottom w:val="none" w:sz="0" w:space="0" w:color="auto"/>
            <w:right w:val="none" w:sz="0" w:space="0" w:color="auto"/>
          </w:divBdr>
          <w:divsChild>
            <w:div w:id="3416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4046">
      <w:bodyDiv w:val="1"/>
      <w:marLeft w:val="0"/>
      <w:marRight w:val="0"/>
      <w:marTop w:val="0"/>
      <w:marBottom w:val="0"/>
      <w:divBdr>
        <w:top w:val="none" w:sz="0" w:space="0" w:color="auto"/>
        <w:left w:val="none" w:sz="0" w:space="0" w:color="auto"/>
        <w:bottom w:val="none" w:sz="0" w:space="0" w:color="auto"/>
        <w:right w:val="none" w:sz="0" w:space="0" w:color="auto"/>
      </w:divBdr>
      <w:divsChild>
        <w:div w:id="165485597">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86318620">
          <w:marLeft w:val="0"/>
          <w:marRight w:val="0"/>
          <w:marTop w:val="0"/>
          <w:marBottom w:val="0"/>
          <w:divBdr>
            <w:top w:val="none" w:sz="0" w:space="0" w:color="auto"/>
            <w:left w:val="none" w:sz="0" w:space="0" w:color="auto"/>
            <w:bottom w:val="none" w:sz="0" w:space="0" w:color="auto"/>
            <w:right w:val="none" w:sz="0" w:space="0" w:color="auto"/>
          </w:divBdr>
          <w:divsChild>
            <w:div w:id="644940082">
              <w:marLeft w:val="0"/>
              <w:marRight w:val="0"/>
              <w:marTop w:val="0"/>
              <w:marBottom w:val="0"/>
              <w:divBdr>
                <w:top w:val="none" w:sz="0" w:space="0" w:color="auto"/>
                <w:left w:val="none" w:sz="0" w:space="0" w:color="auto"/>
                <w:bottom w:val="none" w:sz="0" w:space="0" w:color="auto"/>
                <w:right w:val="none" w:sz="0" w:space="0" w:color="auto"/>
              </w:divBdr>
            </w:div>
            <w:div w:id="1379475493">
              <w:marLeft w:val="0"/>
              <w:marRight w:val="0"/>
              <w:marTop w:val="0"/>
              <w:marBottom w:val="0"/>
              <w:divBdr>
                <w:top w:val="none" w:sz="0" w:space="0" w:color="auto"/>
                <w:left w:val="none" w:sz="0" w:space="0" w:color="auto"/>
                <w:bottom w:val="none" w:sz="0" w:space="0" w:color="auto"/>
                <w:right w:val="none" w:sz="0" w:space="0" w:color="auto"/>
              </w:divBdr>
            </w:div>
            <w:div w:id="1106540293">
              <w:marLeft w:val="0"/>
              <w:marRight w:val="0"/>
              <w:marTop w:val="0"/>
              <w:marBottom w:val="0"/>
              <w:divBdr>
                <w:top w:val="none" w:sz="0" w:space="0" w:color="auto"/>
                <w:left w:val="none" w:sz="0" w:space="0" w:color="auto"/>
                <w:bottom w:val="none" w:sz="0" w:space="0" w:color="auto"/>
                <w:right w:val="none" w:sz="0" w:space="0" w:color="auto"/>
              </w:divBdr>
            </w:div>
            <w:div w:id="936406518">
              <w:marLeft w:val="0"/>
              <w:marRight w:val="0"/>
              <w:marTop w:val="0"/>
              <w:marBottom w:val="0"/>
              <w:divBdr>
                <w:top w:val="none" w:sz="0" w:space="0" w:color="auto"/>
                <w:left w:val="none" w:sz="0" w:space="0" w:color="auto"/>
                <w:bottom w:val="none" w:sz="0" w:space="0" w:color="auto"/>
                <w:right w:val="none" w:sz="0" w:space="0" w:color="auto"/>
              </w:divBdr>
            </w:div>
            <w:div w:id="4328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87834">
      <w:bodyDiv w:val="1"/>
      <w:marLeft w:val="0"/>
      <w:marRight w:val="0"/>
      <w:marTop w:val="0"/>
      <w:marBottom w:val="0"/>
      <w:divBdr>
        <w:top w:val="none" w:sz="0" w:space="0" w:color="auto"/>
        <w:left w:val="none" w:sz="0" w:space="0" w:color="auto"/>
        <w:bottom w:val="none" w:sz="0" w:space="0" w:color="auto"/>
        <w:right w:val="none" w:sz="0" w:space="0" w:color="auto"/>
      </w:divBdr>
      <w:divsChild>
        <w:div w:id="1896619772">
          <w:marLeft w:val="0"/>
          <w:marRight w:val="0"/>
          <w:marTop w:val="0"/>
          <w:marBottom w:val="0"/>
          <w:divBdr>
            <w:top w:val="none" w:sz="0" w:space="0" w:color="auto"/>
            <w:left w:val="none" w:sz="0" w:space="0" w:color="auto"/>
            <w:bottom w:val="none" w:sz="0" w:space="0" w:color="auto"/>
            <w:right w:val="none" w:sz="0" w:space="0" w:color="auto"/>
          </w:divBdr>
          <w:divsChild>
            <w:div w:id="1187671710">
              <w:marLeft w:val="0"/>
              <w:marRight w:val="0"/>
              <w:marTop w:val="0"/>
              <w:marBottom w:val="0"/>
              <w:divBdr>
                <w:top w:val="none" w:sz="0" w:space="0" w:color="auto"/>
                <w:left w:val="none" w:sz="0" w:space="0" w:color="auto"/>
                <w:bottom w:val="none" w:sz="0" w:space="0" w:color="auto"/>
                <w:right w:val="none" w:sz="0" w:space="0" w:color="auto"/>
              </w:divBdr>
            </w:div>
            <w:div w:id="10748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6120">
      <w:bodyDiv w:val="1"/>
      <w:marLeft w:val="0"/>
      <w:marRight w:val="0"/>
      <w:marTop w:val="0"/>
      <w:marBottom w:val="0"/>
      <w:divBdr>
        <w:top w:val="none" w:sz="0" w:space="0" w:color="auto"/>
        <w:left w:val="none" w:sz="0" w:space="0" w:color="auto"/>
        <w:bottom w:val="none" w:sz="0" w:space="0" w:color="auto"/>
        <w:right w:val="none" w:sz="0" w:space="0" w:color="auto"/>
      </w:divBdr>
      <w:divsChild>
        <w:div w:id="2076051111">
          <w:marLeft w:val="0"/>
          <w:marRight w:val="0"/>
          <w:marTop w:val="0"/>
          <w:marBottom w:val="0"/>
          <w:divBdr>
            <w:top w:val="none" w:sz="0" w:space="0" w:color="auto"/>
            <w:left w:val="none" w:sz="0" w:space="0" w:color="auto"/>
            <w:bottom w:val="none" w:sz="0" w:space="0" w:color="auto"/>
            <w:right w:val="none" w:sz="0" w:space="0" w:color="auto"/>
          </w:divBdr>
          <w:divsChild>
            <w:div w:id="871306914">
              <w:marLeft w:val="0"/>
              <w:marRight w:val="0"/>
              <w:marTop w:val="0"/>
              <w:marBottom w:val="0"/>
              <w:divBdr>
                <w:top w:val="none" w:sz="0" w:space="0" w:color="auto"/>
                <w:left w:val="none" w:sz="0" w:space="0" w:color="auto"/>
                <w:bottom w:val="none" w:sz="0" w:space="0" w:color="auto"/>
                <w:right w:val="none" w:sz="0" w:space="0" w:color="auto"/>
              </w:divBdr>
            </w:div>
            <w:div w:id="1466122285">
              <w:marLeft w:val="0"/>
              <w:marRight w:val="0"/>
              <w:marTop w:val="0"/>
              <w:marBottom w:val="0"/>
              <w:divBdr>
                <w:top w:val="none" w:sz="0" w:space="0" w:color="auto"/>
                <w:left w:val="none" w:sz="0" w:space="0" w:color="auto"/>
                <w:bottom w:val="none" w:sz="0" w:space="0" w:color="auto"/>
                <w:right w:val="none" w:sz="0" w:space="0" w:color="auto"/>
              </w:divBdr>
            </w:div>
            <w:div w:id="5457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4743">
      <w:bodyDiv w:val="1"/>
      <w:marLeft w:val="0"/>
      <w:marRight w:val="0"/>
      <w:marTop w:val="0"/>
      <w:marBottom w:val="0"/>
      <w:divBdr>
        <w:top w:val="none" w:sz="0" w:space="0" w:color="auto"/>
        <w:left w:val="none" w:sz="0" w:space="0" w:color="auto"/>
        <w:bottom w:val="none" w:sz="0" w:space="0" w:color="auto"/>
        <w:right w:val="none" w:sz="0" w:space="0" w:color="auto"/>
      </w:divBdr>
      <w:divsChild>
        <w:div w:id="64425869">
          <w:marLeft w:val="0"/>
          <w:marRight w:val="0"/>
          <w:marTop w:val="0"/>
          <w:marBottom w:val="0"/>
          <w:divBdr>
            <w:top w:val="none" w:sz="0" w:space="0" w:color="auto"/>
            <w:left w:val="none" w:sz="0" w:space="0" w:color="auto"/>
            <w:bottom w:val="none" w:sz="0" w:space="0" w:color="auto"/>
            <w:right w:val="none" w:sz="0" w:space="0" w:color="auto"/>
          </w:divBdr>
          <w:divsChild>
            <w:div w:id="19125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61882">
      <w:bodyDiv w:val="1"/>
      <w:marLeft w:val="0"/>
      <w:marRight w:val="0"/>
      <w:marTop w:val="0"/>
      <w:marBottom w:val="0"/>
      <w:divBdr>
        <w:top w:val="none" w:sz="0" w:space="0" w:color="auto"/>
        <w:left w:val="none" w:sz="0" w:space="0" w:color="auto"/>
        <w:bottom w:val="none" w:sz="0" w:space="0" w:color="auto"/>
        <w:right w:val="none" w:sz="0" w:space="0" w:color="auto"/>
      </w:divBdr>
      <w:divsChild>
        <w:div w:id="990403962">
          <w:marLeft w:val="0"/>
          <w:marRight w:val="0"/>
          <w:marTop w:val="0"/>
          <w:marBottom w:val="0"/>
          <w:divBdr>
            <w:top w:val="none" w:sz="0" w:space="0" w:color="auto"/>
            <w:left w:val="none" w:sz="0" w:space="0" w:color="auto"/>
            <w:bottom w:val="none" w:sz="0" w:space="0" w:color="auto"/>
            <w:right w:val="none" w:sz="0" w:space="0" w:color="auto"/>
          </w:divBdr>
        </w:div>
      </w:divsChild>
    </w:div>
    <w:div w:id="1327975727">
      <w:bodyDiv w:val="1"/>
      <w:marLeft w:val="0"/>
      <w:marRight w:val="0"/>
      <w:marTop w:val="0"/>
      <w:marBottom w:val="0"/>
      <w:divBdr>
        <w:top w:val="none" w:sz="0" w:space="0" w:color="auto"/>
        <w:left w:val="none" w:sz="0" w:space="0" w:color="auto"/>
        <w:bottom w:val="none" w:sz="0" w:space="0" w:color="auto"/>
        <w:right w:val="none" w:sz="0" w:space="0" w:color="auto"/>
      </w:divBdr>
      <w:divsChild>
        <w:div w:id="23136178">
          <w:marLeft w:val="0"/>
          <w:marRight w:val="0"/>
          <w:marTop w:val="0"/>
          <w:marBottom w:val="0"/>
          <w:divBdr>
            <w:top w:val="none" w:sz="0" w:space="0" w:color="auto"/>
            <w:left w:val="none" w:sz="0" w:space="0" w:color="auto"/>
            <w:bottom w:val="none" w:sz="0" w:space="0" w:color="auto"/>
            <w:right w:val="none" w:sz="0" w:space="0" w:color="auto"/>
          </w:divBdr>
          <w:divsChild>
            <w:div w:id="1967927924">
              <w:marLeft w:val="0"/>
              <w:marRight w:val="0"/>
              <w:marTop w:val="0"/>
              <w:marBottom w:val="0"/>
              <w:divBdr>
                <w:top w:val="none" w:sz="0" w:space="0" w:color="auto"/>
                <w:left w:val="none" w:sz="0" w:space="0" w:color="auto"/>
                <w:bottom w:val="none" w:sz="0" w:space="0" w:color="auto"/>
                <w:right w:val="none" w:sz="0" w:space="0" w:color="auto"/>
              </w:divBdr>
            </w:div>
            <w:div w:id="508912909">
              <w:marLeft w:val="0"/>
              <w:marRight w:val="0"/>
              <w:marTop w:val="0"/>
              <w:marBottom w:val="0"/>
              <w:divBdr>
                <w:top w:val="none" w:sz="0" w:space="0" w:color="auto"/>
                <w:left w:val="none" w:sz="0" w:space="0" w:color="auto"/>
                <w:bottom w:val="none" w:sz="0" w:space="0" w:color="auto"/>
                <w:right w:val="none" w:sz="0" w:space="0" w:color="auto"/>
              </w:divBdr>
            </w:div>
            <w:div w:id="1317101636">
              <w:marLeft w:val="0"/>
              <w:marRight w:val="0"/>
              <w:marTop w:val="0"/>
              <w:marBottom w:val="0"/>
              <w:divBdr>
                <w:top w:val="none" w:sz="0" w:space="0" w:color="auto"/>
                <w:left w:val="none" w:sz="0" w:space="0" w:color="auto"/>
                <w:bottom w:val="none" w:sz="0" w:space="0" w:color="auto"/>
                <w:right w:val="none" w:sz="0" w:space="0" w:color="auto"/>
              </w:divBdr>
            </w:div>
            <w:div w:id="1116371154">
              <w:marLeft w:val="0"/>
              <w:marRight w:val="0"/>
              <w:marTop w:val="0"/>
              <w:marBottom w:val="0"/>
              <w:divBdr>
                <w:top w:val="none" w:sz="0" w:space="0" w:color="auto"/>
                <w:left w:val="none" w:sz="0" w:space="0" w:color="auto"/>
                <w:bottom w:val="none" w:sz="0" w:space="0" w:color="auto"/>
                <w:right w:val="none" w:sz="0" w:space="0" w:color="auto"/>
              </w:divBdr>
            </w:div>
            <w:div w:id="707148533">
              <w:marLeft w:val="0"/>
              <w:marRight w:val="0"/>
              <w:marTop w:val="0"/>
              <w:marBottom w:val="0"/>
              <w:divBdr>
                <w:top w:val="none" w:sz="0" w:space="0" w:color="auto"/>
                <w:left w:val="none" w:sz="0" w:space="0" w:color="auto"/>
                <w:bottom w:val="none" w:sz="0" w:space="0" w:color="auto"/>
                <w:right w:val="none" w:sz="0" w:space="0" w:color="auto"/>
              </w:divBdr>
            </w:div>
            <w:div w:id="1876502139">
              <w:marLeft w:val="0"/>
              <w:marRight w:val="0"/>
              <w:marTop w:val="0"/>
              <w:marBottom w:val="0"/>
              <w:divBdr>
                <w:top w:val="none" w:sz="0" w:space="0" w:color="auto"/>
                <w:left w:val="none" w:sz="0" w:space="0" w:color="auto"/>
                <w:bottom w:val="none" w:sz="0" w:space="0" w:color="auto"/>
                <w:right w:val="none" w:sz="0" w:space="0" w:color="auto"/>
              </w:divBdr>
            </w:div>
            <w:div w:id="1398868501">
              <w:marLeft w:val="0"/>
              <w:marRight w:val="0"/>
              <w:marTop w:val="0"/>
              <w:marBottom w:val="0"/>
              <w:divBdr>
                <w:top w:val="none" w:sz="0" w:space="0" w:color="auto"/>
                <w:left w:val="none" w:sz="0" w:space="0" w:color="auto"/>
                <w:bottom w:val="none" w:sz="0" w:space="0" w:color="auto"/>
                <w:right w:val="none" w:sz="0" w:space="0" w:color="auto"/>
              </w:divBdr>
            </w:div>
            <w:div w:id="1187405796">
              <w:marLeft w:val="0"/>
              <w:marRight w:val="0"/>
              <w:marTop w:val="0"/>
              <w:marBottom w:val="0"/>
              <w:divBdr>
                <w:top w:val="none" w:sz="0" w:space="0" w:color="auto"/>
                <w:left w:val="none" w:sz="0" w:space="0" w:color="auto"/>
                <w:bottom w:val="none" w:sz="0" w:space="0" w:color="auto"/>
                <w:right w:val="none" w:sz="0" w:space="0" w:color="auto"/>
              </w:divBdr>
            </w:div>
            <w:div w:id="1185901071">
              <w:marLeft w:val="0"/>
              <w:marRight w:val="0"/>
              <w:marTop w:val="0"/>
              <w:marBottom w:val="0"/>
              <w:divBdr>
                <w:top w:val="none" w:sz="0" w:space="0" w:color="auto"/>
                <w:left w:val="none" w:sz="0" w:space="0" w:color="auto"/>
                <w:bottom w:val="none" w:sz="0" w:space="0" w:color="auto"/>
                <w:right w:val="none" w:sz="0" w:space="0" w:color="auto"/>
              </w:divBdr>
            </w:div>
            <w:div w:id="1775858553">
              <w:marLeft w:val="0"/>
              <w:marRight w:val="0"/>
              <w:marTop w:val="0"/>
              <w:marBottom w:val="0"/>
              <w:divBdr>
                <w:top w:val="none" w:sz="0" w:space="0" w:color="auto"/>
                <w:left w:val="none" w:sz="0" w:space="0" w:color="auto"/>
                <w:bottom w:val="none" w:sz="0" w:space="0" w:color="auto"/>
                <w:right w:val="none" w:sz="0" w:space="0" w:color="auto"/>
              </w:divBdr>
            </w:div>
            <w:div w:id="93478700">
              <w:marLeft w:val="0"/>
              <w:marRight w:val="0"/>
              <w:marTop w:val="0"/>
              <w:marBottom w:val="0"/>
              <w:divBdr>
                <w:top w:val="none" w:sz="0" w:space="0" w:color="auto"/>
                <w:left w:val="none" w:sz="0" w:space="0" w:color="auto"/>
                <w:bottom w:val="none" w:sz="0" w:space="0" w:color="auto"/>
                <w:right w:val="none" w:sz="0" w:space="0" w:color="auto"/>
              </w:divBdr>
            </w:div>
            <w:div w:id="1164930199">
              <w:marLeft w:val="0"/>
              <w:marRight w:val="0"/>
              <w:marTop w:val="0"/>
              <w:marBottom w:val="0"/>
              <w:divBdr>
                <w:top w:val="none" w:sz="0" w:space="0" w:color="auto"/>
                <w:left w:val="none" w:sz="0" w:space="0" w:color="auto"/>
                <w:bottom w:val="none" w:sz="0" w:space="0" w:color="auto"/>
                <w:right w:val="none" w:sz="0" w:space="0" w:color="auto"/>
              </w:divBdr>
            </w:div>
            <w:div w:id="189147009">
              <w:marLeft w:val="0"/>
              <w:marRight w:val="0"/>
              <w:marTop w:val="0"/>
              <w:marBottom w:val="0"/>
              <w:divBdr>
                <w:top w:val="none" w:sz="0" w:space="0" w:color="auto"/>
                <w:left w:val="none" w:sz="0" w:space="0" w:color="auto"/>
                <w:bottom w:val="none" w:sz="0" w:space="0" w:color="auto"/>
                <w:right w:val="none" w:sz="0" w:space="0" w:color="auto"/>
              </w:divBdr>
            </w:div>
            <w:div w:id="633102920">
              <w:marLeft w:val="0"/>
              <w:marRight w:val="0"/>
              <w:marTop w:val="0"/>
              <w:marBottom w:val="0"/>
              <w:divBdr>
                <w:top w:val="none" w:sz="0" w:space="0" w:color="auto"/>
                <w:left w:val="none" w:sz="0" w:space="0" w:color="auto"/>
                <w:bottom w:val="none" w:sz="0" w:space="0" w:color="auto"/>
                <w:right w:val="none" w:sz="0" w:space="0" w:color="auto"/>
              </w:divBdr>
            </w:div>
            <w:div w:id="208223032">
              <w:marLeft w:val="0"/>
              <w:marRight w:val="0"/>
              <w:marTop w:val="0"/>
              <w:marBottom w:val="0"/>
              <w:divBdr>
                <w:top w:val="none" w:sz="0" w:space="0" w:color="auto"/>
                <w:left w:val="none" w:sz="0" w:space="0" w:color="auto"/>
                <w:bottom w:val="none" w:sz="0" w:space="0" w:color="auto"/>
                <w:right w:val="none" w:sz="0" w:space="0" w:color="auto"/>
              </w:divBdr>
            </w:div>
            <w:div w:id="1699354081">
              <w:marLeft w:val="0"/>
              <w:marRight w:val="0"/>
              <w:marTop w:val="0"/>
              <w:marBottom w:val="0"/>
              <w:divBdr>
                <w:top w:val="none" w:sz="0" w:space="0" w:color="auto"/>
                <w:left w:val="none" w:sz="0" w:space="0" w:color="auto"/>
                <w:bottom w:val="none" w:sz="0" w:space="0" w:color="auto"/>
                <w:right w:val="none" w:sz="0" w:space="0" w:color="auto"/>
              </w:divBdr>
            </w:div>
            <w:div w:id="1775855259">
              <w:marLeft w:val="0"/>
              <w:marRight w:val="0"/>
              <w:marTop w:val="0"/>
              <w:marBottom w:val="0"/>
              <w:divBdr>
                <w:top w:val="none" w:sz="0" w:space="0" w:color="auto"/>
                <w:left w:val="none" w:sz="0" w:space="0" w:color="auto"/>
                <w:bottom w:val="none" w:sz="0" w:space="0" w:color="auto"/>
                <w:right w:val="none" w:sz="0" w:space="0" w:color="auto"/>
              </w:divBdr>
            </w:div>
            <w:div w:id="20715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8915">
      <w:bodyDiv w:val="1"/>
      <w:marLeft w:val="0"/>
      <w:marRight w:val="0"/>
      <w:marTop w:val="0"/>
      <w:marBottom w:val="0"/>
      <w:divBdr>
        <w:top w:val="none" w:sz="0" w:space="0" w:color="auto"/>
        <w:left w:val="none" w:sz="0" w:space="0" w:color="auto"/>
        <w:bottom w:val="none" w:sz="0" w:space="0" w:color="auto"/>
        <w:right w:val="none" w:sz="0" w:space="0" w:color="auto"/>
      </w:divBdr>
      <w:divsChild>
        <w:div w:id="472866778">
          <w:marLeft w:val="0"/>
          <w:marRight w:val="0"/>
          <w:marTop w:val="0"/>
          <w:marBottom w:val="0"/>
          <w:divBdr>
            <w:top w:val="none" w:sz="0" w:space="0" w:color="auto"/>
            <w:left w:val="none" w:sz="0" w:space="0" w:color="auto"/>
            <w:bottom w:val="none" w:sz="0" w:space="0" w:color="auto"/>
            <w:right w:val="none" w:sz="0" w:space="0" w:color="auto"/>
          </w:divBdr>
          <w:divsChild>
            <w:div w:id="618221863">
              <w:marLeft w:val="0"/>
              <w:marRight w:val="0"/>
              <w:marTop w:val="0"/>
              <w:marBottom w:val="0"/>
              <w:divBdr>
                <w:top w:val="none" w:sz="0" w:space="0" w:color="auto"/>
                <w:left w:val="none" w:sz="0" w:space="0" w:color="auto"/>
                <w:bottom w:val="none" w:sz="0" w:space="0" w:color="auto"/>
                <w:right w:val="none" w:sz="0" w:space="0" w:color="auto"/>
              </w:divBdr>
            </w:div>
            <w:div w:id="1827670280">
              <w:marLeft w:val="0"/>
              <w:marRight w:val="0"/>
              <w:marTop w:val="0"/>
              <w:marBottom w:val="0"/>
              <w:divBdr>
                <w:top w:val="none" w:sz="0" w:space="0" w:color="auto"/>
                <w:left w:val="none" w:sz="0" w:space="0" w:color="auto"/>
                <w:bottom w:val="none" w:sz="0" w:space="0" w:color="auto"/>
                <w:right w:val="none" w:sz="0" w:space="0" w:color="auto"/>
              </w:divBdr>
            </w:div>
            <w:div w:id="78020537">
              <w:marLeft w:val="0"/>
              <w:marRight w:val="0"/>
              <w:marTop w:val="0"/>
              <w:marBottom w:val="0"/>
              <w:divBdr>
                <w:top w:val="none" w:sz="0" w:space="0" w:color="auto"/>
                <w:left w:val="none" w:sz="0" w:space="0" w:color="auto"/>
                <w:bottom w:val="none" w:sz="0" w:space="0" w:color="auto"/>
                <w:right w:val="none" w:sz="0" w:space="0" w:color="auto"/>
              </w:divBdr>
            </w:div>
            <w:div w:id="2127701295">
              <w:marLeft w:val="0"/>
              <w:marRight w:val="0"/>
              <w:marTop w:val="0"/>
              <w:marBottom w:val="0"/>
              <w:divBdr>
                <w:top w:val="none" w:sz="0" w:space="0" w:color="auto"/>
                <w:left w:val="none" w:sz="0" w:space="0" w:color="auto"/>
                <w:bottom w:val="none" w:sz="0" w:space="0" w:color="auto"/>
                <w:right w:val="none" w:sz="0" w:space="0" w:color="auto"/>
              </w:divBdr>
            </w:div>
            <w:div w:id="17246299">
              <w:marLeft w:val="0"/>
              <w:marRight w:val="0"/>
              <w:marTop w:val="0"/>
              <w:marBottom w:val="0"/>
              <w:divBdr>
                <w:top w:val="none" w:sz="0" w:space="0" w:color="auto"/>
                <w:left w:val="none" w:sz="0" w:space="0" w:color="auto"/>
                <w:bottom w:val="none" w:sz="0" w:space="0" w:color="auto"/>
                <w:right w:val="none" w:sz="0" w:space="0" w:color="auto"/>
              </w:divBdr>
            </w:div>
            <w:div w:id="989212894">
              <w:marLeft w:val="0"/>
              <w:marRight w:val="0"/>
              <w:marTop w:val="0"/>
              <w:marBottom w:val="0"/>
              <w:divBdr>
                <w:top w:val="none" w:sz="0" w:space="0" w:color="auto"/>
                <w:left w:val="none" w:sz="0" w:space="0" w:color="auto"/>
                <w:bottom w:val="none" w:sz="0" w:space="0" w:color="auto"/>
                <w:right w:val="none" w:sz="0" w:space="0" w:color="auto"/>
              </w:divBdr>
            </w:div>
            <w:div w:id="962927677">
              <w:marLeft w:val="0"/>
              <w:marRight w:val="0"/>
              <w:marTop w:val="0"/>
              <w:marBottom w:val="0"/>
              <w:divBdr>
                <w:top w:val="none" w:sz="0" w:space="0" w:color="auto"/>
                <w:left w:val="none" w:sz="0" w:space="0" w:color="auto"/>
                <w:bottom w:val="none" w:sz="0" w:space="0" w:color="auto"/>
                <w:right w:val="none" w:sz="0" w:space="0" w:color="auto"/>
              </w:divBdr>
            </w:div>
            <w:div w:id="1833522517">
              <w:marLeft w:val="0"/>
              <w:marRight w:val="0"/>
              <w:marTop w:val="0"/>
              <w:marBottom w:val="0"/>
              <w:divBdr>
                <w:top w:val="none" w:sz="0" w:space="0" w:color="auto"/>
                <w:left w:val="none" w:sz="0" w:space="0" w:color="auto"/>
                <w:bottom w:val="none" w:sz="0" w:space="0" w:color="auto"/>
                <w:right w:val="none" w:sz="0" w:space="0" w:color="auto"/>
              </w:divBdr>
            </w:div>
            <w:div w:id="1302923090">
              <w:marLeft w:val="0"/>
              <w:marRight w:val="0"/>
              <w:marTop w:val="0"/>
              <w:marBottom w:val="0"/>
              <w:divBdr>
                <w:top w:val="none" w:sz="0" w:space="0" w:color="auto"/>
                <w:left w:val="none" w:sz="0" w:space="0" w:color="auto"/>
                <w:bottom w:val="none" w:sz="0" w:space="0" w:color="auto"/>
                <w:right w:val="none" w:sz="0" w:space="0" w:color="auto"/>
              </w:divBdr>
            </w:div>
            <w:div w:id="1600675388">
              <w:marLeft w:val="0"/>
              <w:marRight w:val="0"/>
              <w:marTop w:val="0"/>
              <w:marBottom w:val="0"/>
              <w:divBdr>
                <w:top w:val="none" w:sz="0" w:space="0" w:color="auto"/>
                <w:left w:val="none" w:sz="0" w:space="0" w:color="auto"/>
                <w:bottom w:val="none" w:sz="0" w:space="0" w:color="auto"/>
                <w:right w:val="none" w:sz="0" w:space="0" w:color="auto"/>
              </w:divBdr>
            </w:div>
            <w:div w:id="10334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220">
      <w:bodyDiv w:val="1"/>
      <w:marLeft w:val="0"/>
      <w:marRight w:val="0"/>
      <w:marTop w:val="0"/>
      <w:marBottom w:val="0"/>
      <w:divBdr>
        <w:top w:val="none" w:sz="0" w:space="0" w:color="auto"/>
        <w:left w:val="none" w:sz="0" w:space="0" w:color="auto"/>
        <w:bottom w:val="none" w:sz="0" w:space="0" w:color="auto"/>
        <w:right w:val="none" w:sz="0" w:space="0" w:color="auto"/>
      </w:divBdr>
      <w:divsChild>
        <w:div w:id="411850653">
          <w:marLeft w:val="0"/>
          <w:marRight w:val="0"/>
          <w:marTop w:val="0"/>
          <w:marBottom w:val="0"/>
          <w:divBdr>
            <w:top w:val="none" w:sz="0" w:space="0" w:color="auto"/>
            <w:left w:val="none" w:sz="0" w:space="0" w:color="auto"/>
            <w:bottom w:val="none" w:sz="0" w:space="0" w:color="auto"/>
            <w:right w:val="none" w:sz="0" w:space="0" w:color="auto"/>
          </w:divBdr>
        </w:div>
      </w:divsChild>
    </w:div>
    <w:div w:id="1484350124">
      <w:bodyDiv w:val="1"/>
      <w:marLeft w:val="0"/>
      <w:marRight w:val="0"/>
      <w:marTop w:val="0"/>
      <w:marBottom w:val="0"/>
      <w:divBdr>
        <w:top w:val="none" w:sz="0" w:space="0" w:color="auto"/>
        <w:left w:val="none" w:sz="0" w:space="0" w:color="auto"/>
        <w:bottom w:val="none" w:sz="0" w:space="0" w:color="auto"/>
        <w:right w:val="none" w:sz="0" w:space="0" w:color="auto"/>
      </w:divBdr>
      <w:divsChild>
        <w:div w:id="1981230619">
          <w:marLeft w:val="0"/>
          <w:marRight w:val="0"/>
          <w:marTop w:val="0"/>
          <w:marBottom w:val="0"/>
          <w:divBdr>
            <w:top w:val="none" w:sz="0" w:space="0" w:color="auto"/>
            <w:left w:val="none" w:sz="0" w:space="0" w:color="auto"/>
            <w:bottom w:val="none" w:sz="0" w:space="0" w:color="auto"/>
            <w:right w:val="none" w:sz="0" w:space="0" w:color="auto"/>
          </w:divBdr>
          <w:divsChild>
            <w:div w:id="1712530308">
              <w:marLeft w:val="0"/>
              <w:marRight w:val="0"/>
              <w:marTop w:val="0"/>
              <w:marBottom w:val="0"/>
              <w:divBdr>
                <w:top w:val="none" w:sz="0" w:space="0" w:color="auto"/>
                <w:left w:val="none" w:sz="0" w:space="0" w:color="auto"/>
                <w:bottom w:val="none" w:sz="0" w:space="0" w:color="auto"/>
                <w:right w:val="none" w:sz="0" w:space="0" w:color="auto"/>
              </w:divBdr>
            </w:div>
            <w:div w:id="400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09959">
      <w:bodyDiv w:val="1"/>
      <w:marLeft w:val="0"/>
      <w:marRight w:val="0"/>
      <w:marTop w:val="0"/>
      <w:marBottom w:val="0"/>
      <w:divBdr>
        <w:top w:val="none" w:sz="0" w:space="0" w:color="auto"/>
        <w:left w:val="none" w:sz="0" w:space="0" w:color="auto"/>
        <w:bottom w:val="none" w:sz="0" w:space="0" w:color="auto"/>
        <w:right w:val="none" w:sz="0" w:space="0" w:color="auto"/>
      </w:divBdr>
      <w:divsChild>
        <w:div w:id="932519280">
          <w:marLeft w:val="0"/>
          <w:marRight w:val="0"/>
          <w:marTop w:val="0"/>
          <w:marBottom w:val="0"/>
          <w:divBdr>
            <w:top w:val="none" w:sz="0" w:space="0" w:color="auto"/>
            <w:left w:val="none" w:sz="0" w:space="0" w:color="auto"/>
            <w:bottom w:val="none" w:sz="0" w:space="0" w:color="auto"/>
            <w:right w:val="none" w:sz="0" w:space="0" w:color="auto"/>
          </w:divBdr>
          <w:divsChild>
            <w:div w:id="16669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4579">
      <w:bodyDiv w:val="1"/>
      <w:marLeft w:val="0"/>
      <w:marRight w:val="0"/>
      <w:marTop w:val="0"/>
      <w:marBottom w:val="0"/>
      <w:divBdr>
        <w:top w:val="none" w:sz="0" w:space="0" w:color="auto"/>
        <w:left w:val="none" w:sz="0" w:space="0" w:color="auto"/>
        <w:bottom w:val="none" w:sz="0" w:space="0" w:color="auto"/>
        <w:right w:val="none" w:sz="0" w:space="0" w:color="auto"/>
      </w:divBdr>
      <w:divsChild>
        <w:div w:id="1959800007">
          <w:marLeft w:val="0"/>
          <w:marRight w:val="0"/>
          <w:marTop w:val="0"/>
          <w:marBottom w:val="0"/>
          <w:divBdr>
            <w:top w:val="none" w:sz="0" w:space="0" w:color="auto"/>
            <w:left w:val="none" w:sz="0" w:space="0" w:color="auto"/>
            <w:bottom w:val="none" w:sz="0" w:space="0" w:color="auto"/>
            <w:right w:val="none" w:sz="0" w:space="0" w:color="auto"/>
          </w:divBdr>
          <w:divsChild>
            <w:div w:id="1200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0406">
      <w:bodyDiv w:val="1"/>
      <w:marLeft w:val="0"/>
      <w:marRight w:val="0"/>
      <w:marTop w:val="0"/>
      <w:marBottom w:val="0"/>
      <w:divBdr>
        <w:top w:val="none" w:sz="0" w:space="0" w:color="auto"/>
        <w:left w:val="none" w:sz="0" w:space="0" w:color="auto"/>
        <w:bottom w:val="none" w:sz="0" w:space="0" w:color="auto"/>
        <w:right w:val="none" w:sz="0" w:space="0" w:color="auto"/>
      </w:divBdr>
      <w:divsChild>
        <w:div w:id="2017875813">
          <w:marLeft w:val="0"/>
          <w:marRight w:val="0"/>
          <w:marTop w:val="0"/>
          <w:marBottom w:val="0"/>
          <w:divBdr>
            <w:top w:val="none" w:sz="0" w:space="0" w:color="auto"/>
            <w:left w:val="none" w:sz="0" w:space="0" w:color="auto"/>
            <w:bottom w:val="none" w:sz="0" w:space="0" w:color="auto"/>
            <w:right w:val="none" w:sz="0" w:space="0" w:color="auto"/>
          </w:divBdr>
          <w:divsChild>
            <w:div w:id="1359509280">
              <w:marLeft w:val="0"/>
              <w:marRight w:val="0"/>
              <w:marTop w:val="0"/>
              <w:marBottom w:val="0"/>
              <w:divBdr>
                <w:top w:val="none" w:sz="0" w:space="0" w:color="auto"/>
                <w:left w:val="none" w:sz="0" w:space="0" w:color="auto"/>
                <w:bottom w:val="none" w:sz="0" w:space="0" w:color="auto"/>
                <w:right w:val="none" w:sz="0" w:space="0" w:color="auto"/>
              </w:divBdr>
            </w:div>
            <w:div w:id="649411248">
              <w:marLeft w:val="0"/>
              <w:marRight w:val="0"/>
              <w:marTop w:val="0"/>
              <w:marBottom w:val="0"/>
              <w:divBdr>
                <w:top w:val="none" w:sz="0" w:space="0" w:color="auto"/>
                <w:left w:val="none" w:sz="0" w:space="0" w:color="auto"/>
                <w:bottom w:val="none" w:sz="0" w:space="0" w:color="auto"/>
                <w:right w:val="none" w:sz="0" w:space="0" w:color="auto"/>
              </w:divBdr>
            </w:div>
            <w:div w:id="132105">
              <w:marLeft w:val="0"/>
              <w:marRight w:val="0"/>
              <w:marTop w:val="0"/>
              <w:marBottom w:val="0"/>
              <w:divBdr>
                <w:top w:val="none" w:sz="0" w:space="0" w:color="auto"/>
                <w:left w:val="none" w:sz="0" w:space="0" w:color="auto"/>
                <w:bottom w:val="none" w:sz="0" w:space="0" w:color="auto"/>
                <w:right w:val="none" w:sz="0" w:space="0" w:color="auto"/>
              </w:divBdr>
            </w:div>
            <w:div w:id="1717312692">
              <w:marLeft w:val="0"/>
              <w:marRight w:val="0"/>
              <w:marTop w:val="0"/>
              <w:marBottom w:val="0"/>
              <w:divBdr>
                <w:top w:val="none" w:sz="0" w:space="0" w:color="auto"/>
                <w:left w:val="none" w:sz="0" w:space="0" w:color="auto"/>
                <w:bottom w:val="none" w:sz="0" w:space="0" w:color="auto"/>
                <w:right w:val="none" w:sz="0" w:space="0" w:color="auto"/>
              </w:divBdr>
            </w:div>
            <w:div w:id="1140004480">
              <w:marLeft w:val="0"/>
              <w:marRight w:val="0"/>
              <w:marTop w:val="0"/>
              <w:marBottom w:val="0"/>
              <w:divBdr>
                <w:top w:val="none" w:sz="0" w:space="0" w:color="auto"/>
                <w:left w:val="none" w:sz="0" w:space="0" w:color="auto"/>
                <w:bottom w:val="none" w:sz="0" w:space="0" w:color="auto"/>
                <w:right w:val="none" w:sz="0" w:space="0" w:color="auto"/>
              </w:divBdr>
            </w:div>
            <w:div w:id="831600887">
              <w:marLeft w:val="0"/>
              <w:marRight w:val="0"/>
              <w:marTop w:val="0"/>
              <w:marBottom w:val="0"/>
              <w:divBdr>
                <w:top w:val="none" w:sz="0" w:space="0" w:color="auto"/>
                <w:left w:val="none" w:sz="0" w:space="0" w:color="auto"/>
                <w:bottom w:val="none" w:sz="0" w:space="0" w:color="auto"/>
                <w:right w:val="none" w:sz="0" w:space="0" w:color="auto"/>
              </w:divBdr>
            </w:div>
            <w:div w:id="1760445186">
              <w:marLeft w:val="0"/>
              <w:marRight w:val="0"/>
              <w:marTop w:val="0"/>
              <w:marBottom w:val="0"/>
              <w:divBdr>
                <w:top w:val="none" w:sz="0" w:space="0" w:color="auto"/>
                <w:left w:val="none" w:sz="0" w:space="0" w:color="auto"/>
                <w:bottom w:val="none" w:sz="0" w:space="0" w:color="auto"/>
                <w:right w:val="none" w:sz="0" w:space="0" w:color="auto"/>
              </w:divBdr>
            </w:div>
            <w:div w:id="1349484473">
              <w:marLeft w:val="0"/>
              <w:marRight w:val="0"/>
              <w:marTop w:val="0"/>
              <w:marBottom w:val="0"/>
              <w:divBdr>
                <w:top w:val="none" w:sz="0" w:space="0" w:color="auto"/>
                <w:left w:val="none" w:sz="0" w:space="0" w:color="auto"/>
                <w:bottom w:val="none" w:sz="0" w:space="0" w:color="auto"/>
                <w:right w:val="none" w:sz="0" w:space="0" w:color="auto"/>
              </w:divBdr>
            </w:div>
            <w:div w:id="158271929">
              <w:marLeft w:val="0"/>
              <w:marRight w:val="0"/>
              <w:marTop w:val="0"/>
              <w:marBottom w:val="0"/>
              <w:divBdr>
                <w:top w:val="none" w:sz="0" w:space="0" w:color="auto"/>
                <w:left w:val="none" w:sz="0" w:space="0" w:color="auto"/>
                <w:bottom w:val="none" w:sz="0" w:space="0" w:color="auto"/>
                <w:right w:val="none" w:sz="0" w:space="0" w:color="auto"/>
              </w:divBdr>
            </w:div>
            <w:div w:id="167059170">
              <w:marLeft w:val="0"/>
              <w:marRight w:val="0"/>
              <w:marTop w:val="0"/>
              <w:marBottom w:val="0"/>
              <w:divBdr>
                <w:top w:val="none" w:sz="0" w:space="0" w:color="auto"/>
                <w:left w:val="none" w:sz="0" w:space="0" w:color="auto"/>
                <w:bottom w:val="none" w:sz="0" w:space="0" w:color="auto"/>
                <w:right w:val="none" w:sz="0" w:space="0" w:color="auto"/>
              </w:divBdr>
            </w:div>
            <w:div w:id="1666736109">
              <w:marLeft w:val="0"/>
              <w:marRight w:val="0"/>
              <w:marTop w:val="0"/>
              <w:marBottom w:val="0"/>
              <w:divBdr>
                <w:top w:val="none" w:sz="0" w:space="0" w:color="auto"/>
                <w:left w:val="none" w:sz="0" w:space="0" w:color="auto"/>
                <w:bottom w:val="none" w:sz="0" w:space="0" w:color="auto"/>
                <w:right w:val="none" w:sz="0" w:space="0" w:color="auto"/>
              </w:divBdr>
            </w:div>
            <w:div w:id="668992247">
              <w:marLeft w:val="0"/>
              <w:marRight w:val="0"/>
              <w:marTop w:val="0"/>
              <w:marBottom w:val="0"/>
              <w:divBdr>
                <w:top w:val="none" w:sz="0" w:space="0" w:color="auto"/>
                <w:left w:val="none" w:sz="0" w:space="0" w:color="auto"/>
                <w:bottom w:val="none" w:sz="0" w:space="0" w:color="auto"/>
                <w:right w:val="none" w:sz="0" w:space="0" w:color="auto"/>
              </w:divBdr>
            </w:div>
            <w:div w:id="1470054975">
              <w:marLeft w:val="0"/>
              <w:marRight w:val="0"/>
              <w:marTop w:val="0"/>
              <w:marBottom w:val="0"/>
              <w:divBdr>
                <w:top w:val="none" w:sz="0" w:space="0" w:color="auto"/>
                <w:left w:val="none" w:sz="0" w:space="0" w:color="auto"/>
                <w:bottom w:val="none" w:sz="0" w:space="0" w:color="auto"/>
                <w:right w:val="none" w:sz="0" w:space="0" w:color="auto"/>
              </w:divBdr>
            </w:div>
            <w:div w:id="144322331">
              <w:marLeft w:val="0"/>
              <w:marRight w:val="0"/>
              <w:marTop w:val="0"/>
              <w:marBottom w:val="0"/>
              <w:divBdr>
                <w:top w:val="none" w:sz="0" w:space="0" w:color="auto"/>
                <w:left w:val="none" w:sz="0" w:space="0" w:color="auto"/>
                <w:bottom w:val="none" w:sz="0" w:space="0" w:color="auto"/>
                <w:right w:val="none" w:sz="0" w:space="0" w:color="auto"/>
              </w:divBdr>
            </w:div>
            <w:div w:id="1066801811">
              <w:marLeft w:val="0"/>
              <w:marRight w:val="0"/>
              <w:marTop w:val="0"/>
              <w:marBottom w:val="0"/>
              <w:divBdr>
                <w:top w:val="none" w:sz="0" w:space="0" w:color="auto"/>
                <w:left w:val="none" w:sz="0" w:space="0" w:color="auto"/>
                <w:bottom w:val="none" w:sz="0" w:space="0" w:color="auto"/>
                <w:right w:val="none" w:sz="0" w:space="0" w:color="auto"/>
              </w:divBdr>
            </w:div>
            <w:div w:id="2022539087">
              <w:marLeft w:val="0"/>
              <w:marRight w:val="0"/>
              <w:marTop w:val="0"/>
              <w:marBottom w:val="0"/>
              <w:divBdr>
                <w:top w:val="none" w:sz="0" w:space="0" w:color="auto"/>
                <w:left w:val="none" w:sz="0" w:space="0" w:color="auto"/>
                <w:bottom w:val="none" w:sz="0" w:space="0" w:color="auto"/>
                <w:right w:val="none" w:sz="0" w:space="0" w:color="auto"/>
              </w:divBdr>
            </w:div>
            <w:div w:id="8057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91132">
      <w:bodyDiv w:val="1"/>
      <w:marLeft w:val="0"/>
      <w:marRight w:val="0"/>
      <w:marTop w:val="0"/>
      <w:marBottom w:val="0"/>
      <w:divBdr>
        <w:top w:val="none" w:sz="0" w:space="0" w:color="auto"/>
        <w:left w:val="none" w:sz="0" w:space="0" w:color="auto"/>
        <w:bottom w:val="none" w:sz="0" w:space="0" w:color="auto"/>
        <w:right w:val="none" w:sz="0" w:space="0" w:color="auto"/>
      </w:divBdr>
      <w:divsChild>
        <w:div w:id="889000690">
          <w:marLeft w:val="0"/>
          <w:marRight w:val="0"/>
          <w:marTop w:val="0"/>
          <w:marBottom w:val="0"/>
          <w:divBdr>
            <w:top w:val="none" w:sz="0" w:space="0" w:color="auto"/>
            <w:left w:val="none" w:sz="0" w:space="0" w:color="auto"/>
            <w:bottom w:val="none" w:sz="0" w:space="0" w:color="auto"/>
            <w:right w:val="none" w:sz="0" w:space="0" w:color="auto"/>
          </w:divBdr>
          <w:divsChild>
            <w:div w:id="773942705">
              <w:marLeft w:val="0"/>
              <w:marRight w:val="0"/>
              <w:marTop w:val="0"/>
              <w:marBottom w:val="0"/>
              <w:divBdr>
                <w:top w:val="none" w:sz="0" w:space="0" w:color="auto"/>
                <w:left w:val="none" w:sz="0" w:space="0" w:color="auto"/>
                <w:bottom w:val="none" w:sz="0" w:space="0" w:color="auto"/>
                <w:right w:val="none" w:sz="0" w:space="0" w:color="auto"/>
              </w:divBdr>
            </w:div>
            <w:div w:id="1414739849">
              <w:marLeft w:val="0"/>
              <w:marRight w:val="0"/>
              <w:marTop w:val="0"/>
              <w:marBottom w:val="0"/>
              <w:divBdr>
                <w:top w:val="none" w:sz="0" w:space="0" w:color="auto"/>
                <w:left w:val="none" w:sz="0" w:space="0" w:color="auto"/>
                <w:bottom w:val="none" w:sz="0" w:space="0" w:color="auto"/>
                <w:right w:val="none" w:sz="0" w:space="0" w:color="auto"/>
              </w:divBdr>
            </w:div>
            <w:div w:id="519860492">
              <w:marLeft w:val="0"/>
              <w:marRight w:val="0"/>
              <w:marTop w:val="0"/>
              <w:marBottom w:val="0"/>
              <w:divBdr>
                <w:top w:val="none" w:sz="0" w:space="0" w:color="auto"/>
                <w:left w:val="none" w:sz="0" w:space="0" w:color="auto"/>
                <w:bottom w:val="none" w:sz="0" w:space="0" w:color="auto"/>
                <w:right w:val="none" w:sz="0" w:space="0" w:color="auto"/>
              </w:divBdr>
            </w:div>
            <w:div w:id="57477881">
              <w:marLeft w:val="0"/>
              <w:marRight w:val="0"/>
              <w:marTop w:val="0"/>
              <w:marBottom w:val="0"/>
              <w:divBdr>
                <w:top w:val="none" w:sz="0" w:space="0" w:color="auto"/>
                <w:left w:val="none" w:sz="0" w:space="0" w:color="auto"/>
                <w:bottom w:val="none" w:sz="0" w:space="0" w:color="auto"/>
                <w:right w:val="none" w:sz="0" w:space="0" w:color="auto"/>
              </w:divBdr>
            </w:div>
            <w:div w:id="2124570600">
              <w:marLeft w:val="0"/>
              <w:marRight w:val="0"/>
              <w:marTop w:val="0"/>
              <w:marBottom w:val="0"/>
              <w:divBdr>
                <w:top w:val="none" w:sz="0" w:space="0" w:color="auto"/>
                <w:left w:val="none" w:sz="0" w:space="0" w:color="auto"/>
                <w:bottom w:val="none" w:sz="0" w:space="0" w:color="auto"/>
                <w:right w:val="none" w:sz="0" w:space="0" w:color="auto"/>
              </w:divBdr>
            </w:div>
            <w:div w:id="1848131329">
              <w:marLeft w:val="0"/>
              <w:marRight w:val="0"/>
              <w:marTop w:val="0"/>
              <w:marBottom w:val="0"/>
              <w:divBdr>
                <w:top w:val="none" w:sz="0" w:space="0" w:color="auto"/>
                <w:left w:val="none" w:sz="0" w:space="0" w:color="auto"/>
                <w:bottom w:val="none" w:sz="0" w:space="0" w:color="auto"/>
                <w:right w:val="none" w:sz="0" w:space="0" w:color="auto"/>
              </w:divBdr>
            </w:div>
            <w:div w:id="701976959">
              <w:marLeft w:val="0"/>
              <w:marRight w:val="0"/>
              <w:marTop w:val="0"/>
              <w:marBottom w:val="0"/>
              <w:divBdr>
                <w:top w:val="none" w:sz="0" w:space="0" w:color="auto"/>
                <w:left w:val="none" w:sz="0" w:space="0" w:color="auto"/>
                <w:bottom w:val="none" w:sz="0" w:space="0" w:color="auto"/>
                <w:right w:val="none" w:sz="0" w:space="0" w:color="auto"/>
              </w:divBdr>
            </w:div>
            <w:div w:id="313606687">
              <w:marLeft w:val="0"/>
              <w:marRight w:val="0"/>
              <w:marTop w:val="0"/>
              <w:marBottom w:val="0"/>
              <w:divBdr>
                <w:top w:val="none" w:sz="0" w:space="0" w:color="auto"/>
                <w:left w:val="none" w:sz="0" w:space="0" w:color="auto"/>
                <w:bottom w:val="none" w:sz="0" w:space="0" w:color="auto"/>
                <w:right w:val="none" w:sz="0" w:space="0" w:color="auto"/>
              </w:divBdr>
            </w:div>
            <w:div w:id="962466911">
              <w:marLeft w:val="0"/>
              <w:marRight w:val="0"/>
              <w:marTop w:val="0"/>
              <w:marBottom w:val="0"/>
              <w:divBdr>
                <w:top w:val="none" w:sz="0" w:space="0" w:color="auto"/>
                <w:left w:val="none" w:sz="0" w:space="0" w:color="auto"/>
                <w:bottom w:val="none" w:sz="0" w:space="0" w:color="auto"/>
                <w:right w:val="none" w:sz="0" w:space="0" w:color="auto"/>
              </w:divBdr>
            </w:div>
            <w:div w:id="286357630">
              <w:marLeft w:val="0"/>
              <w:marRight w:val="0"/>
              <w:marTop w:val="0"/>
              <w:marBottom w:val="0"/>
              <w:divBdr>
                <w:top w:val="none" w:sz="0" w:space="0" w:color="auto"/>
                <w:left w:val="none" w:sz="0" w:space="0" w:color="auto"/>
                <w:bottom w:val="none" w:sz="0" w:space="0" w:color="auto"/>
                <w:right w:val="none" w:sz="0" w:space="0" w:color="auto"/>
              </w:divBdr>
            </w:div>
            <w:div w:id="336925513">
              <w:marLeft w:val="0"/>
              <w:marRight w:val="0"/>
              <w:marTop w:val="0"/>
              <w:marBottom w:val="0"/>
              <w:divBdr>
                <w:top w:val="none" w:sz="0" w:space="0" w:color="auto"/>
                <w:left w:val="none" w:sz="0" w:space="0" w:color="auto"/>
                <w:bottom w:val="none" w:sz="0" w:space="0" w:color="auto"/>
                <w:right w:val="none" w:sz="0" w:space="0" w:color="auto"/>
              </w:divBdr>
            </w:div>
            <w:div w:id="1854614143">
              <w:marLeft w:val="0"/>
              <w:marRight w:val="0"/>
              <w:marTop w:val="0"/>
              <w:marBottom w:val="0"/>
              <w:divBdr>
                <w:top w:val="none" w:sz="0" w:space="0" w:color="auto"/>
                <w:left w:val="none" w:sz="0" w:space="0" w:color="auto"/>
                <w:bottom w:val="none" w:sz="0" w:space="0" w:color="auto"/>
                <w:right w:val="none" w:sz="0" w:space="0" w:color="auto"/>
              </w:divBdr>
            </w:div>
            <w:div w:id="17857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9627">
      <w:bodyDiv w:val="1"/>
      <w:marLeft w:val="0"/>
      <w:marRight w:val="0"/>
      <w:marTop w:val="0"/>
      <w:marBottom w:val="0"/>
      <w:divBdr>
        <w:top w:val="none" w:sz="0" w:space="0" w:color="auto"/>
        <w:left w:val="none" w:sz="0" w:space="0" w:color="auto"/>
        <w:bottom w:val="none" w:sz="0" w:space="0" w:color="auto"/>
        <w:right w:val="none" w:sz="0" w:space="0" w:color="auto"/>
      </w:divBdr>
      <w:divsChild>
        <w:div w:id="1886216962">
          <w:marLeft w:val="0"/>
          <w:marRight w:val="0"/>
          <w:marTop w:val="0"/>
          <w:marBottom w:val="0"/>
          <w:divBdr>
            <w:top w:val="none" w:sz="0" w:space="0" w:color="auto"/>
            <w:left w:val="none" w:sz="0" w:space="0" w:color="auto"/>
            <w:bottom w:val="none" w:sz="0" w:space="0" w:color="auto"/>
            <w:right w:val="none" w:sz="0" w:space="0" w:color="auto"/>
          </w:divBdr>
          <w:divsChild>
            <w:div w:id="4595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66957">
      <w:bodyDiv w:val="1"/>
      <w:marLeft w:val="0"/>
      <w:marRight w:val="0"/>
      <w:marTop w:val="0"/>
      <w:marBottom w:val="0"/>
      <w:divBdr>
        <w:top w:val="none" w:sz="0" w:space="0" w:color="auto"/>
        <w:left w:val="none" w:sz="0" w:space="0" w:color="auto"/>
        <w:bottom w:val="none" w:sz="0" w:space="0" w:color="auto"/>
        <w:right w:val="none" w:sz="0" w:space="0" w:color="auto"/>
      </w:divBdr>
      <w:divsChild>
        <w:div w:id="1352561155">
          <w:marLeft w:val="0"/>
          <w:marRight w:val="0"/>
          <w:marTop w:val="0"/>
          <w:marBottom w:val="0"/>
          <w:divBdr>
            <w:top w:val="none" w:sz="0" w:space="0" w:color="auto"/>
            <w:left w:val="none" w:sz="0" w:space="0" w:color="auto"/>
            <w:bottom w:val="none" w:sz="0" w:space="0" w:color="auto"/>
            <w:right w:val="none" w:sz="0" w:space="0" w:color="auto"/>
          </w:divBdr>
          <w:divsChild>
            <w:div w:id="1895848135">
              <w:marLeft w:val="0"/>
              <w:marRight w:val="0"/>
              <w:marTop w:val="0"/>
              <w:marBottom w:val="0"/>
              <w:divBdr>
                <w:top w:val="none" w:sz="0" w:space="0" w:color="auto"/>
                <w:left w:val="none" w:sz="0" w:space="0" w:color="auto"/>
                <w:bottom w:val="none" w:sz="0" w:space="0" w:color="auto"/>
                <w:right w:val="none" w:sz="0" w:space="0" w:color="auto"/>
              </w:divBdr>
            </w:div>
            <w:div w:id="1527987420">
              <w:marLeft w:val="0"/>
              <w:marRight w:val="0"/>
              <w:marTop w:val="0"/>
              <w:marBottom w:val="0"/>
              <w:divBdr>
                <w:top w:val="none" w:sz="0" w:space="0" w:color="auto"/>
                <w:left w:val="none" w:sz="0" w:space="0" w:color="auto"/>
                <w:bottom w:val="none" w:sz="0" w:space="0" w:color="auto"/>
                <w:right w:val="none" w:sz="0" w:space="0" w:color="auto"/>
              </w:divBdr>
            </w:div>
            <w:div w:id="13676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2249">
      <w:bodyDiv w:val="1"/>
      <w:marLeft w:val="0"/>
      <w:marRight w:val="0"/>
      <w:marTop w:val="0"/>
      <w:marBottom w:val="0"/>
      <w:divBdr>
        <w:top w:val="none" w:sz="0" w:space="0" w:color="auto"/>
        <w:left w:val="none" w:sz="0" w:space="0" w:color="auto"/>
        <w:bottom w:val="none" w:sz="0" w:space="0" w:color="auto"/>
        <w:right w:val="none" w:sz="0" w:space="0" w:color="auto"/>
      </w:divBdr>
      <w:divsChild>
        <w:div w:id="1781297556">
          <w:marLeft w:val="0"/>
          <w:marRight w:val="0"/>
          <w:marTop w:val="0"/>
          <w:marBottom w:val="0"/>
          <w:divBdr>
            <w:top w:val="none" w:sz="0" w:space="0" w:color="auto"/>
            <w:left w:val="none" w:sz="0" w:space="0" w:color="auto"/>
            <w:bottom w:val="none" w:sz="0" w:space="0" w:color="auto"/>
            <w:right w:val="none" w:sz="0" w:space="0" w:color="auto"/>
          </w:divBdr>
          <w:divsChild>
            <w:div w:id="4858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925">
      <w:bodyDiv w:val="1"/>
      <w:marLeft w:val="0"/>
      <w:marRight w:val="0"/>
      <w:marTop w:val="0"/>
      <w:marBottom w:val="0"/>
      <w:divBdr>
        <w:top w:val="none" w:sz="0" w:space="0" w:color="auto"/>
        <w:left w:val="none" w:sz="0" w:space="0" w:color="auto"/>
        <w:bottom w:val="none" w:sz="0" w:space="0" w:color="auto"/>
        <w:right w:val="none" w:sz="0" w:space="0" w:color="auto"/>
      </w:divBdr>
      <w:divsChild>
        <w:div w:id="1855345119">
          <w:marLeft w:val="0"/>
          <w:marRight w:val="0"/>
          <w:marTop w:val="0"/>
          <w:marBottom w:val="0"/>
          <w:divBdr>
            <w:top w:val="none" w:sz="0" w:space="0" w:color="auto"/>
            <w:left w:val="none" w:sz="0" w:space="0" w:color="auto"/>
            <w:bottom w:val="none" w:sz="0" w:space="0" w:color="auto"/>
            <w:right w:val="none" w:sz="0" w:space="0" w:color="auto"/>
          </w:divBdr>
          <w:divsChild>
            <w:div w:id="913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71133">
      <w:bodyDiv w:val="1"/>
      <w:marLeft w:val="0"/>
      <w:marRight w:val="0"/>
      <w:marTop w:val="0"/>
      <w:marBottom w:val="0"/>
      <w:divBdr>
        <w:top w:val="none" w:sz="0" w:space="0" w:color="auto"/>
        <w:left w:val="none" w:sz="0" w:space="0" w:color="auto"/>
        <w:bottom w:val="none" w:sz="0" w:space="0" w:color="auto"/>
        <w:right w:val="none" w:sz="0" w:space="0" w:color="auto"/>
      </w:divBdr>
      <w:divsChild>
        <w:div w:id="1769038114">
          <w:marLeft w:val="0"/>
          <w:marRight w:val="0"/>
          <w:marTop w:val="0"/>
          <w:marBottom w:val="0"/>
          <w:divBdr>
            <w:top w:val="none" w:sz="0" w:space="0" w:color="auto"/>
            <w:left w:val="none" w:sz="0" w:space="0" w:color="auto"/>
            <w:bottom w:val="none" w:sz="0" w:space="0" w:color="auto"/>
            <w:right w:val="none" w:sz="0" w:space="0" w:color="auto"/>
          </w:divBdr>
          <w:divsChild>
            <w:div w:id="77026505">
              <w:marLeft w:val="0"/>
              <w:marRight w:val="0"/>
              <w:marTop w:val="0"/>
              <w:marBottom w:val="0"/>
              <w:divBdr>
                <w:top w:val="none" w:sz="0" w:space="0" w:color="auto"/>
                <w:left w:val="none" w:sz="0" w:space="0" w:color="auto"/>
                <w:bottom w:val="none" w:sz="0" w:space="0" w:color="auto"/>
                <w:right w:val="none" w:sz="0" w:space="0" w:color="auto"/>
              </w:divBdr>
            </w:div>
            <w:div w:id="1211765299">
              <w:marLeft w:val="0"/>
              <w:marRight w:val="0"/>
              <w:marTop w:val="0"/>
              <w:marBottom w:val="0"/>
              <w:divBdr>
                <w:top w:val="none" w:sz="0" w:space="0" w:color="auto"/>
                <w:left w:val="none" w:sz="0" w:space="0" w:color="auto"/>
                <w:bottom w:val="none" w:sz="0" w:space="0" w:color="auto"/>
                <w:right w:val="none" w:sz="0" w:space="0" w:color="auto"/>
              </w:divBdr>
            </w:div>
            <w:div w:id="1264531422">
              <w:marLeft w:val="0"/>
              <w:marRight w:val="0"/>
              <w:marTop w:val="0"/>
              <w:marBottom w:val="0"/>
              <w:divBdr>
                <w:top w:val="none" w:sz="0" w:space="0" w:color="auto"/>
                <w:left w:val="none" w:sz="0" w:space="0" w:color="auto"/>
                <w:bottom w:val="none" w:sz="0" w:space="0" w:color="auto"/>
                <w:right w:val="none" w:sz="0" w:space="0" w:color="auto"/>
              </w:divBdr>
            </w:div>
            <w:div w:id="15265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9140">
      <w:bodyDiv w:val="1"/>
      <w:marLeft w:val="0"/>
      <w:marRight w:val="0"/>
      <w:marTop w:val="0"/>
      <w:marBottom w:val="0"/>
      <w:divBdr>
        <w:top w:val="none" w:sz="0" w:space="0" w:color="auto"/>
        <w:left w:val="none" w:sz="0" w:space="0" w:color="auto"/>
        <w:bottom w:val="none" w:sz="0" w:space="0" w:color="auto"/>
        <w:right w:val="none" w:sz="0" w:space="0" w:color="auto"/>
      </w:divBdr>
      <w:divsChild>
        <w:div w:id="1481464488">
          <w:marLeft w:val="0"/>
          <w:marRight w:val="0"/>
          <w:marTop w:val="0"/>
          <w:marBottom w:val="0"/>
          <w:divBdr>
            <w:top w:val="none" w:sz="0" w:space="0" w:color="auto"/>
            <w:left w:val="none" w:sz="0" w:space="0" w:color="auto"/>
            <w:bottom w:val="none" w:sz="0" w:space="0" w:color="auto"/>
            <w:right w:val="none" w:sz="0" w:space="0" w:color="auto"/>
          </w:divBdr>
          <w:divsChild>
            <w:div w:id="836652020">
              <w:marLeft w:val="0"/>
              <w:marRight w:val="0"/>
              <w:marTop w:val="0"/>
              <w:marBottom w:val="0"/>
              <w:divBdr>
                <w:top w:val="none" w:sz="0" w:space="0" w:color="auto"/>
                <w:left w:val="none" w:sz="0" w:space="0" w:color="auto"/>
                <w:bottom w:val="none" w:sz="0" w:space="0" w:color="auto"/>
                <w:right w:val="none" w:sz="0" w:space="0" w:color="auto"/>
              </w:divBdr>
            </w:div>
            <w:div w:id="1675835221">
              <w:marLeft w:val="0"/>
              <w:marRight w:val="0"/>
              <w:marTop w:val="0"/>
              <w:marBottom w:val="0"/>
              <w:divBdr>
                <w:top w:val="none" w:sz="0" w:space="0" w:color="auto"/>
                <w:left w:val="none" w:sz="0" w:space="0" w:color="auto"/>
                <w:bottom w:val="none" w:sz="0" w:space="0" w:color="auto"/>
                <w:right w:val="none" w:sz="0" w:space="0" w:color="auto"/>
              </w:divBdr>
            </w:div>
            <w:div w:id="1114784544">
              <w:marLeft w:val="0"/>
              <w:marRight w:val="0"/>
              <w:marTop w:val="0"/>
              <w:marBottom w:val="0"/>
              <w:divBdr>
                <w:top w:val="none" w:sz="0" w:space="0" w:color="auto"/>
                <w:left w:val="none" w:sz="0" w:space="0" w:color="auto"/>
                <w:bottom w:val="none" w:sz="0" w:space="0" w:color="auto"/>
                <w:right w:val="none" w:sz="0" w:space="0" w:color="auto"/>
              </w:divBdr>
            </w:div>
            <w:div w:id="8439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5629">
      <w:bodyDiv w:val="1"/>
      <w:marLeft w:val="0"/>
      <w:marRight w:val="0"/>
      <w:marTop w:val="0"/>
      <w:marBottom w:val="0"/>
      <w:divBdr>
        <w:top w:val="none" w:sz="0" w:space="0" w:color="auto"/>
        <w:left w:val="none" w:sz="0" w:space="0" w:color="auto"/>
        <w:bottom w:val="none" w:sz="0" w:space="0" w:color="auto"/>
        <w:right w:val="none" w:sz="0" w:space="0" w:color="auto"/>
      </w:divBdr>
      <w:divsChild>
        <w:div w:id="157654904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cert.or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sbp-cert.org"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sbp.chainpoint.com/netapp/ImageHandler.ashx?id=84a6f7e6-5f3e-42e6-805a-07cc11783482" TargetMode="External"/><Relationship Id="rId11" Type="http://schemas.openxmlformats.org/officeDocument/2006/relationships/image" Target="media/image2.png"/><Relationship Id="rId5" Type="http://schemas.openxmlformats.org/officeDocument/2006/relationships/image" Target="https://sbp.chainpoint.com/netapp/ImageHandler.ashx?id=e625b895-39d3-4326-894d-978e98a62461" TargetMode="Externa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sbp-cert.org/documents/standards-documents/standards"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i%20K&#228;rmas\Documents\SBP.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SBP</Template>
  <TotalTime>1</TotalTime>
  <Pages>29</Pages>
  <Words>5629</Words>
  <Characters>34997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Lauir Karmas</dc:creator>
  <cp:keywords/>
  <dc:description/>
  <cp:lastModifiedBy>Vita Rudzīte</cp:lastModifiedBy>
  <cp:revision>2</cp:revision>
  <cp:lastPrinted>2020-09-01T18:40:00Z</cp:lastPrinted>
  <dcterms:created xsi:type="dcterms:W3CDTF">2022-04-20T10:54:00Z</dcterms:created>
  <dcterms:modified xsi:type="dcterms:W3CDTF">2022-04-20T10:54:00Z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0x010100654AA59EA428C04EB7904C621BF20D90</vt:lpwstr>
  </property>
</Properties>
</file>