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AE0A2" w14:textId="77777777" w:rsidR="00E44047" w:rsidRDefault="00E44047">
      <w:pPr>
        <w:spacing w:line="276" w:lineRule="auto"/>
      </w:pPr>
    </w:p>
    <w:p w14:paraId="2320076D" w14:textId="12CD34AF" w:rsidR="003A3AF6" w:rsidRDefault="00477B62">
      <w:pPr>
        <w:spacing w:line="276" w:lineRule="auto"/>
      </w:pPr>
      <w:r>
        <w:rPr>
          <w:noProof/>
          <w:lang w:val="en-US"/>
        </w:rPr>
        <mc:AlternateContent>
          <mc:Choice Requires="wps">
            <w:drawing>
              <wp:anchor distT="0" distB="0" distL="114300" distR="114300" simplePos="0" relativeHeight="251658240" behindDoc="0" locked="0" layoutInCell="1" allowOverlap="1" wp14:anchorId="775894A8" wp14:editId="1C4BFB80">
                <wp:simplePos x="0" y="0"/>
                <wp:positionH relativeFrom="margin">
                  <wp:align>left</wp:align>
                </wp:positionH>
                <wp:positionV relativeFrom="page">
                  <wp:posOffset>5943600</wp:posOffset>
                </wp:positionV>
                <wp:extent cx="5600700" cy="36671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6712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D3F440D" w14:textId="64F58AE2" w:rsidR="00FA44FA" w:rsidRDefault="00FA44FA" w:rsidP="00ED692D">
                            <w:pPr>
                              <w:pStyle w:val="Nosaukums"/>
                            </w:pPr>
                            <w:r>
                              <w:t xml:space="preserve">Supply Base Report:   SIA PATA  2019 </w:t>
                            </w:r>
                          </w:p>
                          <w:p w14:paraId="7986C4EF" w14:textId="77777777" w:rsidR="00FA44FA" w:rsidRPr="00D37685" w:rsidRDefault="00FA44FA" w:rsidP="00D37685"/>
                          <w:p w14:paraId="5F229996" w14:textId="77777777" w:rsidR="00FA44FA" w:rsidRDefault="00FA44FA" w:rsidP="00ED692D">
                            <w:pPr>
                              <w:pStyle w:val="Nosaukums"/>
                              <w:rPr>
                                <w:color w:val="8AB059"/>
                                <w:sz w:val="36"/>
                                <w:szCs w:val="36"/>
                              </w:rPr>
                            </w:pPr>
                          </w:p>
                          <w:p w14:paraId="4D6AFACA" w14:textId="77777777" w:rsidR="00FA44FA" w:rsidRDefault="00FA44FA" w:rsidP="004E5B6B"/>
                          <w:p w14:paraId="1C23F56C" w14:textId="77777777" w:rsidR="00FA44FA" w:rsidRDefault="00FA44FA" w:rsidP="004E5B6B"/>
                          <w:p w14:paraId="163D273E" w14:textId="77777777" w:rsidR="00FA44FA" w:rsidRPr="004E5B6B" w:rsidRDefault="00FA44FA" w:rsidP="00493940">
                            <w:pPr>
                              <w:rPr>
                                <w:color w:val="3D946D"/>
                              </w:rPr>
                            </w:pPr>
                            <w:r w:rsidRPr="004E5B6B">
                              <w:rPr>
                                <w:color w:val="3D946D"/>
                              </w:rPr>
                              <w:t>www.</w:t>
                            </w:r>
                            <w:r>
                              <w:rPr>
                                <w:color w:val="3D946D"/>
                              </w:rPr>
                              <w:t>sbp-cert</w:t>
                            </w:r>
                            <w:r w:rsidRPr="004E5B6B">
                              <w:rPr>
                                <w:color w:val="3D946D"/>
                              </w:rPr>
                              <w:t>.org</w:t>
                            </w:r>
                          </w:p>
                          <w:p w14:paraId="2A8AE223" w14:textId="77777777" w:rsidR="00FA44FA" w:rsidRDefault="00FA44FA" w:rsidP="004E5B6B"/>
                          <w:p w14:paraId="2D123182" w14:textId="77777777" w:rsidR="00FA44FA" w:rsidRDefault="00FA44FA" w:rsidP="004E5B6B"/>
                          <w:p w14:paraId="2E020512" w14:textId="76903B3A" w:rsidR="00FA44FA" w:rsidRPr="004E5B6B" w:rsidRDefault="00FA44FA" w:rsidP="004E5B6B">
                            <w:pPr>
                              <w:rPr>
                                <w:color w:val="3D946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894A8" id="_x0000_t202" coordsize="21600,21600" o:spt="202" path="m,l,21600r21600,l21600,xe">
                <v:stroke joinstyle="miter"/>
                <v:path gradientshapeok="t" o:connecttype="rect"/>
              </v:shapetype>
              <v:shape id="Text Box 2" o:spid="_x0000_s1026" type="#_x0000_t202" style="position:absolute;margin-left:0;margin-top:468pt;width:441pt;height:28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" filled="f" stroked="f">
                <v:textbox inset="0,0,0,0">
                  <w:txbxContent>
                    <w:p w14:paraId="5D3F440D" w14:textId="64F58AE2" w:rsidR="00FA44FA" w:rsidRDefault="00FA44FA" w:rsidP="00ED692D">
                      <w:pPr>
                        <w:pStyle w:val="Nosaukums"/>
                      </w:pPr>
                      <w:r>
                        <w:t xml:space="preserve">Supply Base Report:   SIA PATA  2019 </w:t>
                      </w:r>
                    </w:p>
                    <w:p w14:paraId="7986C4EF" w14:textId="77777777" w:rsidR="00FA44FA" w:rsidRPr="00D37685" w:rsidRDefault="00FA44FA" w:rsidP="00D37685"/>
                    <w:p w14:paraId="5F229996" w14:textId="77777777" w:rsidR="00FA44FA" w:rsidRDefault="00FA44FA" w:rsidP="00ED692D">
                      <w:pPr>
                        <w:pStyle w:val="Nosaukums"/>
                        <w:rPr>
                          <w:color w:val="8AB059"/>
                          <w:sz w:val="36"/>
                          <w:szCs w:val="36"/>
                        </w:rPr>
                      </w:pPr>
                    </w:p>
                    <w:p w14:paraId="4D6AFACA" w14:textId="77777777" w:rsidR="00FA44FA" w:rsidRDefault="00FA44FA" w:rsidP="004E5B6B"/>
                    <w:p w14:paraId="1C23F56C" w14:textId="77777777" w:rsidR="00FA44FA" w:rsidRDefault="00FA44FA" w:rsidP="004E5B6B"/>
                    <w:p w14:paraId="163D273E" w14:textId="77777777" w:rsidR="00FA44FA" w:rsidRPr="004E5B6B" w:rsidRDefault="00FA44FA" w:rsidP="00493940">
                      <w:pPr>
                        <w:rPr>
                          <w:color w:val="3D946D"/>
                        </w:rPr>
                      </w:pPr>
                      <w:r w:rsidRPr="004E5B6B">
                        <w:rPr>
                          <w:color w:val="3D946D"/>
                        </w:rPr>
                        <w:t>www.</w:t>
                      </w:r>
                      <w:r>
                        <w:rPr>
                          <w:color w:val="3D946D"/>
                        </w:rPr>
                        <w:t>sbp-cert</w:t>
                      </w:r>
                      <w:r w:rsidRPr="004E5B6B">
                        <w:rPr>
                          <w:color w:val="3D946D"/>
                        </w:rPr>
                        <w:t>.org</w:t>
                      </w:r>
                    </w:p>
                    <w:p w14:paraId="2A8AE223" w14:textId="77777777" w:rsidR="00FA44FA" w:rsidRDefault="00FA44FA" w:rsidP="004E5B6B"/>
                    <w:p w14:paraId="2D123182" w14:textId="77777777" w:rsidR="00FA44FA" w:rsidRDefault="00FA44FA" w:rsidP="004E5B6B"/>
                    <w:p w14:paraId="2E020512" w14:textId="76903B3A" w:rsidR="00FA44FA" w:rsidRPr="004E5B6B" w:rsidRDefault="00FA44FA" w:rsidP="004E5B6B">
                      <w:pPr>
                        <w:rPr>
                          <w:color w:val="3D946D"/>
                        </w:rPr>
                      </w:pPr>
                    </w:p>
                  </w:txbxContent>
                </v:textbox>
                <w10:wrap anchorx="margin" anchory="page"/>
              </v:shape>
            </w:pict>
          </mc:Fallback>
        </mc:AlternateContent>
      </w:r>
      <w:r w:rsidR="00836D4B">
        <w:br w:type="page"/>
      </w:r>
      <w:r w:rsidR="003A3AF6">
        <w:rPr>
          <w:noProof/>
          <w:lang w:val="en-US"/>
        </w:rPr>
        <w:lastRenderedPageBreak/>
        <mc:AlternateContent>
          <mc:Choice Requires="wps">
            <w:drawing>
              <wp:anchor distT="0" distB="0" distL="114300" distR="114300" simplePos="0" relativeHeight="251660288" behindDoc="0" locked="0" layoutInCell="1" allowOverlap="1" wp14:anchorId="29FC2AC1" wp14:editId="4A00EC01">
                <wp:simplePos x="0" y="0"/>
                <wp:positionH relativeFrom="page">
                  <wp:posOffset>971550</wp:posOffset>
                </wp:positionH>
                <wp:positionV relativeFrom="page">
                  <wp:posOffset>3933825</wp:posOffset>
                </wp:positionV>
                <wp:extent cx="5600700" cy="5715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EDD30B5" w14:textId="679B05BF" w:rsidR="00FA44FA" w:rsidRPr="003E2C0D" w:rsidRDefault="00FA44FA" w:rsidP="00493940">
                            <w:pPr>
                              <w:spacing w:after="0" w:line="240" w:lineRule="auto"/>
                              <w:rPr>
                                <w:b/>
                                <w:sz w:val="24"/>
                                <w:szCs w:val="24"/>
                              </w:rPr>
                            </w:pPr>
                            <w:r w:rsidRPr="003E2C0D">
                              <w:rPr>
                                <w:rFonts w:ascii="Georgia" w:eastAsiaTheme="majorEastAsia" w:hAnsi="Georgia" w:cstheme="majorBidi"/>
                                <w:color w:val="3D946D"/>
                                <w:spacing w:val="5"/>
                                <w:kern w:val="28"/>
                                <w:sz w:val="40"/>
                                <w:szCs w:val="40"/>
                              </w:rPr>
                              <w:t>Completed in accordance with the Supply Base Report Template Version 1.</w:t>
                            </w:r>
                            <w:r>
                              <w:rPr>
                                <w:rFonts w:ascii="Georgia" w:eastAsiaTheme="majorEastAsia" w:hAnsi="Georgia" w:cstheme="majorBidi"/>
                                <w:color w:val="3D946D"/>
                                <w:spacing w:val="5"/>
                                <w:kern w:val="28"/>
                                <w:sz w:val="40"/>
                                <w:szCs w:val="40"/>
                              </w:rPr>
                              <w:t>3</w:t>
                            </w:r>
                          </w:p>
                          <w:p w14:paraId="16A270B7" w14:textId="77777777" w:rsidR="00FA44FA" w:rsidRPr="003E2C0D" w:rsidRDefault="00FA44FA" w:rsidP="00493940">
                            <w:pPr>
                              <w:rPr>
                                <w:b/>
                                <w:i/>
                                <w:sz w:val="24"/>
                                <w:szCs w:val="24"/>
                              </w:rPr>
                            </w:pPr>
                          </w:p>
                          <w:p w14:paraId="70CAD19A" w14:textId="77777777" w:rsidR="00FA44FA" w:rsidRPr="003E2C0D" w:rsidRDefault="00FA44FA" w:rsidP="00493940"/>
                          <w:p w14:paraId="2FD7F8D5" w14:textId="77777777" w:rsidR="00FA44FA" w:rsidRPr="003E2C0D" w:rsidRDefault="00FA44FA" w:rsidP="00493940">
                            <w:r w:rsidRPr="003E2C0D">
                              <w:rPr>
                                <w:i/>
                              </w:rPr>
                              <w:t xml:space="preserve">For further information on the SBP Framework and to view the full set of documentation see </w:t>
                            </w:r>
                            <w:hyperlink r:id="rId8" w:history="1">
                              <w:r w:rsidRPr="003E2C0D">
                                <w:rPr>
                                  <w:i/>
                                  <w:color w:val="0B6F3E" w:themeColor="hyperlink"/>
                                  <w:u w:val="single"/>
                                </w:rPr>
                                <w:t>www.sbp-cert.org</w:t>
                              </w:r>
                            </w:hyperlink>
                          </w:p>
                          <w:p w14:paraId="0B71CED6" w14:textId="77777777" w:rsidR="00FA44FA" w:rsidRDefault="00FA44FA" w:rsidP="00493940">
                            <w:pPr>
                              <w:rPr>
                                <w:i/>
                              </w:rPr>
                            </w:pPr>
                          </w:p>
                          <w:p w14:paraId="281897D9" w14:textId="77777777" w:rsidR="00FA44FA" w:rsidRDefault="00FA44FA" w:rsidP="00493940">
                            <w:pPr>
                              <w:rPr>
                                <w:i/>
                              </w:rPr>
                            </w:pPr>
                            <w:r>
                              <w:rPr>
                                <w:i/>
                              </w:rPr>
                              <w:t>Document history</w:t>
                            </w:r>
                          </w:p>
                          <w:p w14:paraId="52862AD6" w14:textId="77777777" w:rsidR="00FA44FA" w:rsidRDefault="00FA44FA" w:rsidP="00493940">
                            <w:pPr>
                              <w:rPr>
                                <w:i/>
                              </w:rPr>
                            </w:pPr>
                            <w:r w:rsidRPr="001B53A6">
                              <w:rPr>
                                <w:i/>
                              </w:rPr>
                              <w:t>Version 1.0: published 26 March 2015</w:t>
                            </w:r>
                          </w:p>
                          <w:p w14:paraId="002626C4" w14:textId="77777777" w:rsidR="00FA44FA" w:rsidRDefault="00FA44FA" w:rsidP="00493940">
                            <w:pPr>
                              <w:rPr>
                                <w:i/>
                              </w:rPr>
                            </w:pPr>
                            <w:r>
                              <w:rPr>
                                <w:i/>
                              </w:rPr>
                              <w:t>Version 1.1 published 22 February 2016</w:t>
                            </w:r>
                          </w:p>
                          <w:p w14:paraId="52A9EA92" w14:textId="77777777" w:rsidR="00FA44FA" w:rsidRDefault="00FA44FA" w:rsidP="00493940">
                            <w:pPr>
                              <w:rPr>
                                <w:i/>
                              </w:rPr>
                            </w:pPr>
                            <w:r>
                              <w:rPr>
                                <w:i/>
                              </w:rPr>
                              <w:t>Version 1.2 published 23 June 2016</w:t>
                            </w:r>
                          </w:p>
                          <w:p w14:paraId="781B517F" w14:textId="4D3356BD" w:rsidR="00FA44FA" w:rsidRDefault="00FA44FA" w:rsidP="003A3AF6">
                            <w:pPr>
                              <w:rPr>
                                <w:i/>
                              </w:rPr>
                            </w:pPr>
                            <w:r>
                              <w:rPr>
                                <w:i/>
                              </w:rPr>
                              <w:t>Version 1.3 published 14 January 2019</w:t>
                            </w:r>
                          </w:p>
                          <w:p w14:paraId="45936627" w14:textId="77777777" w:rsidR="00FA44FA" w:rsidRDefault="00FA44FA" w:rsidP="003A3AF6">
                            <w:pPr>
                              <w:rPr>
                                <w:i/>
                              </w:rPr>
                            </w:pPr>
                          </w:p>
                          <w:p w14:paraId="698C191C" w14:textId="45BFADB7" w:rsidR="00FA44FA" w:rsidRPr="001B53A6" w:rsidRDefault="00FA44FA" w:rsidP="007E2D15">
                            <w:pPr>
                              <w:rPr>
                                <w:i/>
                              </w:rPr>
                            </w:pPr>
                            <w:r w:rsidRPr="001B53A6">
                              <w:rPr>
                                <w:rFonts w:cstheme="minorHAnsi"/>
                                <w:i/>
                              </w:rPr>
                              <w:t>©</w:t>
                            </w:r>
                            <w:r w:rsidRPr="00F65317">
                              <w:rPr>
                                <w:i/>
                              </w:rPr>
                              <w:t xml:space="preserve"> Copyright </w:t>
                            </w:r>
                            <w:proofErr w:type="gramStart"/>
                            <w:r w:rsidRPr="00F65317">
                              <w:rPr>
                                <w:i/>
                              </w:rPr>
                              <w:t>The</w:t>
                            </w:r>
                            <w:proofErr w:type="gramEnd"/>
                            <w:r w:rsidRPr="00F65317">
                              <w:rPr>
                                <w:i/>
                              </w:rPr>
                              <w:t xml:space="preserve"> Sustainable Biomass P</w:t>
                            </w:r>
                            <w:r>
                              <w:rPr>
                                <w:i/>
                              </w:rPr>
                              <w:t>rogram</w:t>
                            </w:r>
                            <w:r w:rsidRPr="00F65317">
                              <w:rPr>
                                <w:i/>
                              </w:rPr>
                              <w:t xml:space="preserve"> L</w:t>
                            </w:r>
                            <w:r>
                              <w:rPr>
                                <w:i/>
                              </w:rPr>
                              <w:t>imi</w:t>
                            </w:r>
                            <w:r w:rsidRPr="00F65317">
                              <w:rPr>
                                <w:i/>
                              </w:rPr>
                              <w:t>t</w:t>
                            </w:r>
                            <w:r>
                              <w:rPr>
                                <w:i/>
                              </w:rPr>
                              <w:t>e</w:t>
                            </w:r>
                            <w:r w:rsidRPr="00F65317">
                              <w:rPr>
                                <w:i/>
                              </w:rPr>
                              <w:t>d 201</w:t>
                            </w:r>
                            <w:r>
                              <w:rPr>
                                <w:i/>
                              </w:rPr>
                              <w:t>9</w:t>
                            </w:r>
                          </w:p>
                          <w:p w14:paraId="1EB935F1" w14:textId="319984E5" w:rsidR="00FA44FA" w:rsidRPr="001B53A6" w:rsidRDefault="00FA44FA" w:rsidP="007E2D15">
                            <w:pP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C2AC1" id="Text Box 4" o:spid="_x0000_s1027" type="#_x0000_t202" style="position:absolute;margin-left:76.5pt;margin-top:309.75pt;width:441pt;height:4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" filled="f" stroked="f">
                <v:textbox inset="0,0,0,0">
                  <w:txbxContent>
                    <w:p w14:paraId="4EDD30B5" w14:textId="679B05BF" w:rsidR="00FA44FA" w:rsidRPr="003E2C0D" w:rsidRDefault="00FA44FA" w:rsidP="00493940">
                      <w:pPr>
                        <w:spacing w:after="0" w:line="240" w:lineRule="auto"/>
                        <w:rPr>
                          <w:b/>
                          <w:sz w:val="24"/>
                          <w:szCs w:val="24"/>
                        </w:rPr>
                      </w:pPr>
                      <w:r w:rsidRPr="003E2C0D">
                        <w:rPr>
                          <w:rFonts w:ascii="Georgia" w:eastAsiaTheme="majorEastAsia" w:hAnsi="Georgia" w:cstheme="majorBidi"/>
                          <w:color w:val="3D946D"/>
                          <w:spacing w:val="5"/>
                          <w:kern w:val="28"/>
                          <w:sz w:val="40"/>
                          <w:szCs w:val="40"/>
                        </w:rPr>
                        <w:t>Completed in accordance with the Supply Base Report Template Version 1.</w:t>
                      </w:r>
                      <w:r>
                        <w:rPr>
                          <w:rFonts w:ascii="Georgia" w:eastAsiaTheme="majorEastAsia" w:hAnsi="Georgia" w:cstheme="majorBidi"/>
                          <w:color w:val="3D946D"/>
                          <w:spacing w:val="5"/>
                          <w:kern w:val="28"/>
                          <w:sz w:val="40"/>
                          <w:szCs w:val="40"/>
                        </w:rPr>
                        <w:t>3</w:t>
                      </w:r>
                    </w:p>
                    <w:p w14:paraId="16A270B7" w14:textId="77777777" w:rsidR="00FA44FA" w:rsidRPr="003E2C0D" w:rsidRDefault="00FA44FA" w:rsidP="00493940">
                      <w:pPr>
                        <w:rPr>
                          <w:b/>
                          <w:i/>
                          <w:sz w:val="24"/>
                          <w:szCs w:val="24"/>
                        </w:rPr>
                      </w:pPr>
                    </w:p>
                    <w:p w14:paraId="70CAD19A" w14:textId="77777777" w:rsidR="00FA44FA" w:rsidRPr="003E2C0D" w:rsidRDefault="00FA44FA" w:rsidP="00493940"/>
                    <w:p w14:paraId="2FD7F8D5" w14:textId="77777777" w:rsidR="00FA44FA" w:rsidRPr="003E2C0D" w:rsidRDefault="00FA44FA" w:rsidP="00493940">
                      <w:r w:rsidRPr="003E2C0D">
                        <w:rPr>
                          <w:i/>
                        </w:rPr>
                        <w:t xml:space="preserve">For further information on the SBP Framework and to view the full set of documentation see </w:t>
                      </w:r>
                      <w:hyperlink r:id="rId9" w:history="1">
                        <w:r w:rsidRPr="003E2C0D">
                          <w:rPr>
                            <w:i/>
                            <w:color w:val="0B6F3E" w:themeColor="hyperlink"/>
                            <w:u w:val="single"/>
                          </w:rPr>
                          <w:t>www.sbp-cert.org</w:t>
                        </w:r>
                      </w:hyperlink>
                    </w:p>
                    <w:p w14:paraId="0B71CED6" w14:textId="77777777" w:rsidR="00FA44FA" w:rsidRDefault="00FA44FA" w:rsidP="00493940">
                      <w:pPr>
                        <w:rPr>
                          <w:i/>
                        </w:rPr>
                      </w:pPr>
                    </w:p>
                    <w:p w14:paraId="281897D9" w14:textId="77777777" w:rsidR="00FA44FA" w:rsidRDefault="00FA44FA" w:rsidP="00493940">
                      <w:pPr>
                        <w:rPr>
                          <w:i/>
                        </w:rPr>
                      </w:pPr>
                      <w:r>
                        <w:rPr>
                          <w:i/>
                        </w:rPr>
                        <w:t>Document history</w:t>
                      </w:r>
                    </w:p>
                    <w:p w14:paraId="52862AD6" w14:textId="77777777" w:rsidR="00FA44FA" w:rsidRDefault="00FA44FA" w:rsidP="00493940">
                      <w:pPr>
                        <w:rPr>
                          <w:i/>
                        </w:rPr>
                      </w:pPr>
                      <w:r w:rsidRPr="001B53A6">
                        <w:rPr>
                          <w:i/>
                        </w:rPr>
                        <w:t>Version 1.0: published 26 March 2015</w:t>
                      </w:r>
                    </w:p>
                    <w:p w14:paraId="002626C4" w14:textId="77777777" w:rsidR="00FA44FA" w:rsidRDefault="00FA44FA" w:rsidP="00493940">
                      <w:pPr>
                        <w:rPr>
                          <w:i/>
                        </w:rPr>
                      </w:pPr>
                      <w:r>
                        <w:rPr>
                          <w:i/>
                        </w:rPr>
                        <w:t>Version 1.1 published 22 February 2016</w:t>
                      </w:r>
                    </w:p>
                    <w:p w14:paraId="52A9EA92" w14:textId="77777777" w:rsidR="00FA44FA" w:rsidRDefault="00FA44FA" w:rsidP="00493940">
                      <w:pPr>
                        <w:rPr>
                          <w:i/>
                        </w:rPr>
                      </w:pPr>
                      <w:r>
                        <w:rPr>
                          <w:i/>
                        </w:rPr>
                        <w:t>Version 1.2 published 23 June 2016</w:t>
                      </w:r>
                    </w:p>
                    <w:p w14:paraId="781B517F" w14:textId="4D3356BD" w:rsidR="00FA44FA" w:rsidRDefault="00FA44FA" w:rsidP="003A3AF6">
                      <w:pPr>
                        <w:rPr>
                          <w:i/>
                        </w:rPr>
                      </w:pPr>
                      <w:r>
                        <w:rPr>
                          <w:i/>
                        </w:rPr>
                        <w:t>Version 1.3 published 14 January 2019</w:t>
                      </w:r>
                    </w:p>
                    <w:p w14:paraId="45936627" w14:textId="77777777" w:rsidR="00FA44FA" w:rsidRDefault="00FA44FA" w:rsidP="003A3AF6">
                      <w:pPr>
                        <w:rPr>
                          <w:i/>
                        </w:rPr>
                      </w:pPr>
                    </w:p>
                    <w:p w14:paraId="698C191C" w14:textId="45BFADB7" w:rsidR="00FA44FA" w:rsidRPr="001B53A6" w:rsidRDefault="00FA44FA" w:rsidP="007E2D15">
                      <w:pPr>
                        <w:rPr>
                          <w:i/>
                        </w:rPr>
                      </w:pPr>
                      <w:r w:rsidRPr="001B53A6">
                        <w:rPr>
                          <w:rFonts w:cstheme="minorHAnsi"/>
                          <w:i/>
                        </w:rPr>
                        <w:t>©</w:t>
                      </w:r>
                      <w:r w:rsidRPr="00F65317">
                        <w:rPr>
                          <w:i/>
                        </w:rPr>
                        <w:t xml:space="preserve"> Copyright </w:t>
                      </w:r>
                      <w:proofErr w:type="gramStart"/>
                      <w:r w:rsidRPr="00F65317">
                        <w:rPr>
                          <w:i/>
                        </w:rPr>
                        <w:t>The</w:t>
                      </w:r>
                      <w:proofErr w:type="gramEnd"/>
                      <w:r w:rsidRPr="00F65317">
                        <w:rPr>
                          <w:i/>
                        </w:rPr>
                        <w:t xml:space="preserve"> Sustainable Biomass P</w:t>
                      </w:r>
                      <w:r>
                        <w:rPr>
                          <w:i/>
                        </w:rPr>
                        <w:t>rogram</w:t>
                      </w:r>
                      <w:r w:rsidRPr="00F65317">
                        <w:rPr>
                          <w:i/>
                        </w:rPr>
                        <w:t xml:space="preserve"> L</w:t>
                      </w:r>
                      <w:r>
                        <w:rPr>
                          <w:i/>
                        </w:rPr>
                        <w:t>imi</w:t>
                      </w:r>
                      <w:r w:rsidRPr="00F65317">
                        <w:rPr>
                          <w:i/>
                        </w:rPr>
                        <w:t>t</w:t>
                      </w:r>
                      <w:r>
                        <w:rPr>
                          <w:i/>
                        </w:rPr>
                        <w:t>e</w:t>
                      </w:r>
                      <w:r w:rsidRPr="00F65317">
                        <w:rPr>
                          <w:i/>
                        </w:rPr>
                        <w:t>d 201</w:t>
                      </w:r>
                      <w:r>
                        <w:rPr>
                          <w:i/>
                        </w:rPr>
                        <w:t>9</w:t>
                      </w:r>
                    </w:p>
                    <w:p w14:paraId="1EB935F1" w14:textId="319984E5" w:rsidR="00FA44FA" w:rsidRPr="001B53A6" w:rsidRDefault="00FA44FA" w:rsidP="007E2D15">
                      <w:pPr>
                        <w:rPr>
                          <w:i/>
                        </w:rPr>
                      </w:pPr>
                    </w:p>
                  </w:txbxContent>
                </v:textbox>
                <w10:wrap anchorx="page" anchory="page"/>
              </v:shape>
            </w:pict>
          </mc:Fallback>
        </mc:AlternateContent>
      </w:r>
      <w:r w:rsidR="003A3AF6">
        <w:br w:type="page"/>
      </w:r>
    </w:p>
    <w:p w14:paraId="1EC9AC5A" w14:textId="77777777" w:rsidR="0083069A" w:rsidRDefault="0083069A" w:rsidP="00C604DF"/>
    <w:sdt>
      <w:sdtPr>
        <w:rPr>
          <w:rFonts w:asciiTheme="minorHAnsi" w:eastAsiaTheme="minorHAnsi" w:hAnsiTheme="minorHAnsi" w:cstheme="minorBidi"/>
          <w:bCs w:val="0"/>
          <w:color w:val="auto"/>
          <w:sz w:val="20"/>
          <w:szCs w:val="20"/>
          <w:lang w:val="en-GB"/>
        </w:rPr>
        <w:id w:val="-731076675"/>
        <w:docPartObj>
          <w:docPartGallery w:val="Table of Contents"/>
          <w:docPartUnique/>
        </w:docPartObj>
      </w:sdtPr>
      <w:sdtEndPr>
        <w:rPr>
          <w:b/>
          <w:noProof/>
        </w:rPr>
      </w:sdtEndPr>
      <w:sdtContent>
        <w:p w14:paraId="39E5C4AC" w14:textId="77777777" w:rsidR="005D488C" w:rsidRDefault="005D488C">
          <w:pPr>
            <w:pStyle w:val="Saturardtjavirsraksts"/>
          </w:pPr>
          <w:r>
            <w:t>Contents</w:t>
          </w:r>
        </w:p>
        <w:p w14:paraId="0AD806E6" w14:textId="1E9B5FDB" w:rsidR="00C62321" w:rsidRDefault="005D488C" w:rsidP="00FB28B2">
          <w:pPr>
            <w:pStyle w:val="Saturs1"/>
            <w:rPr>
              <w:rFonts w:eastAsiaTheme="minorEastAsia"/>
              <w:sz w:val="24"/>
              <w:szCs w:val="24"/>
              <w:lang w:val="en-US"/>
            </w:rPr>
          </w:pPr>
          <w:r>
            <w:fldChar w:fldCharType="begin"/>
          </w:r>
          <w:r>
            <w:instrText xml:space="preserve"> TOC \o "1-3" \h \z \u </w:instrText>
          </w:r>
          <w:r>
            <w:fldChar w:fldCharType="separate"/>
          </w:r>
          <w:hyperlink w:anchor="_Toc454366452" w:history="1">
            <w:r w:rsidR="00C62321" w:rsidRPr="00E12C22">
              <w:rPr>
                <w:rStyle w:val="Hipersaite"/>
              </w:rPr>
              <w:t>1</w:t>
            </w:r>
            <w:r w:rsidR="00C62321">
              <w:rPr>
                <w:rFonts w:eastAsiaTheme="minorEastAsia"/>
                <w:sz w:val="24"/>
                <w:szCs w:val="24"/>
                <w:lang w:val="en-US"/>
              </w:rPr>
              <w:tab/>
            </w:r>
            <w:r w:rsidR="00C62321" w:rsidRPr="00E12C22">
              <w:rPr>
                <w:rStyle w:val="Hipersaite"/>
              </w:rPr>
              <w:t>Overview</w:t>
            </w:r>
            <w:r w:rsidR="00C62321">
              <w:rPr>
                <w:webHidden/>
              </w:rPr>
              <w:tab/>
            </w:r>
            <w:r w:rsidR="00C62321">
              <w:rPr>
                <w:webHidden/>
              </w:rPr>
              <w:fldChar w:fldCharType="begin"/>
            </w:r>
            <w:r w:rsidR="00C62321">
              <w:rPr>
                <w:webHidden/>
              </w:rPr>
              <w:instrText xml:space="preserve"> PAGEREF _Toc454366452 \h </w:instrText>
            </w:r>
            <w:r w:rsidR="00C62321">
              <w:rPr>
                <w:webHidden/>
              </w:rPr>
            </w:r>
            <w:r w:rsidR="00C62321">
              <w:rPr>
                <w:webHidden/>
              </w:rPr>
              <w:fldChar w:fldCharType="separate"/>
            </w:r>
            <w:r w:rsidR="002E5EBA">
              <w:rPr>
                <w:webHidden/>
              </w:rPr>
              <w:t>1</w:t>
            </w:r>
            <w:r w:rsidR="00C62321">
              <w:rPr>
                <w:webHidden/>
              </w:rPr>
              <w:fldChar w:fldCharType="end"/>
            </w:r>
          </w:hyperlink>
        </w:p>
        <w:p w14:paraId="1C8D55A9" w14:textId="644A35C4" w:rsidR="00C62321" w:rsidRDefault="002E5EBA" w:rsidP="00FB28B2">
          <w:pPr>
            <w:pStyle w:val="Saturs1"/>
            <w:rPr>
              <w:rFonts w:eastAsiaTheme="minorEastAsia"/>
              <w:sz w:val="24"/>
              <w:szCs w:val="24"/>
              <w:lang w:val="en-US"/>
            </w:rPr>
          </w:pPr>
          <w:hyperlink w:anchor="_Toc454366453" w:history="1">
            <w:r w:rsidR="00C62321" w:rsidRPr="00E12C22">
              <w:rPr>
                <w:rStyle w:val="Hipersaite"/>
              </w:rPr>
              <w:t>2</w:t>
            </w:r>
            <w:r w:rsidR="00C62321">
              <w:rPr>
                <w:rFonts w:eastAsiaTheme="minorEastAsia"/>
                <w:sz w:val="24"/>
                <w:szCs w:val="24"/>
                <w:lang w:val="en-US"/>
              </w:rPr>
              <w:tab/>
            </w:r>
            <w:r w:rsidR="00C62321" w:rsidRPr="00E12C22">
              <w:rPr>
                <w:rStyle w:val="Hipersaite"/>
              </w:rPr>
              <w:t>Description of the Supply Base</w:t>
            </w:r>
            <w:r w:rsidR="00C62321">
              <w:rPr>
                <w:webHidden/>
              </w:rPr>
              <w:tab/>
            </w:r>
            <w:r w:rsidR="00C62321">
              <w:rPr>
                <w:webHidden/>
              </w:rPr>
              <w:fldChar w:fldCharType="begin"/>
            </w:r>
            <w:r w:rsidR="00C62321">
              <w:rPr>
                <w:webHidden/>
              </w:rPr>
              <w:instrText xml:space="preserve"> PAGEREF _Toc454366453 \h </w:instrText>
            </w:r>
            <w:r w:rsidR="00C62321">
              <w:rPr>
                <w:webHidden/>
              </w:rPr>
            </w:r>
            <w:r w:rsidR="00C62321">
              <w:rPr>
                <w:webHidden/>
              </w:rPr>
              <w:fldChar w:fldCharType="separate"/>
            </w:r>
            <w:r>
              <w:rPr>
                <w:webHidden/>
              </w:rPr>
              <w:t>2</w:t>
            </w:r>
            <w:r w:rsidR="00C62321">
              <w:rPr>
                <w:webHidden/>
              </w:rPr>
              <w:fldChar w:fldCharType="end"/>
            </w:r>
          </w:hyperlink>
        </w:p>
        <w:p w14:paraId="751BFF65" w14:textId="55810D24" w:rsidR="00C62321" w:rsidRDefault="002E5EBA">
          <w:pPr>
            <w:pStyle w:val="Saturs2"/>
            <w:rPr>
              <w:rFonts w:eastAsiaTheme="minorEastAsia"/>
              <w:sz w:val="24"/>
              <w:szCs w:val="24"/>
              <w:lang w:val="en-US"/>
            </w:rPr>
          </w:pPr>
          <w:hyperlink w:anchor="_Toc454366454" w:history="1">
            <w:r w:rsidR="00C62321" w:rsidRPr="00E12C22">
              <w:rPr>
                <w:rStyle w:val="Hipersaite"/>
              </w:rPr>
              <w:t>2.1</w:t>
            </w:r>
            <w:r w:rsidR="00C62321">
              <w:rPr>
                <w:rFonts w:eastAsiaTheme="minorEastAsia"/>
                <w:sz w:val="24"/>
                <w:szCs w:val="24"/>
                <w:lang w:val="en-US"/>
              </w:rPr>
              <w:tab/>
            </w:r>
            <w:r w:rsidR="00C62321" w:rsidRPr="00E12C22">
              <w:rPr>
                <w:rStyle w:val="Hipersaite"/>
              </w:rPr>
              <w:t>General description</w:t>
            </w:r>
            <w:r w:rsidR="00C62321">
              <w:rPr>
                <w:webHidden/>
              </w:rPr>
              <w:tab/>
            </w:r>
            <w:r w:rsidR="00C62321">
              <w:rPr>
                <w:webHidden/>
              </w:rPr>
              <w:fldChar w:fldCharType="begin"/>
            </w:r>
            <w:r w:rsidR="00C62321">
              <w:rPr>
                <w:webHidden/>
              </w:rPr>
              <w:instrText xml:space="preserve"> PAGEREF _Toc454366454 \h </w:instrText>
            </w:r>
            <w:r w:rsidR="00C62321">
              <w:rPr>
                <w:webHidden/>
              </w:rPr>
            </w:r>
            <w:r w:rsidR="00C62321">
              <w:rPr>
                <w:webHidden/>
              </w:rPr>
              <w:fldChar w:fldCharType="separate"/>
            </w:r>
            <w:r>
              <w:rPr>
                <w:webHidden/>
              </w:rPr>
              <w:t>2</w:t>
            </w:r>
            <w:r w:rsidR="00C62321">
              <w:rPr>
                <w:webHidden/>
              </w:rPr>
              <w:fldChar w:fldCharType="end"/>
            </w:r>
          </w:hyperlink>
        </w:p>
        <w:p w14:paraId="4E21BF13" w14:textId="460CD4B6" w:rsidR="00C62321" w:rsidRDefault="002E5EBA">
          <w:pPr>
            <w:pStyle w:val="Saturs2"/>
            <w:rPr>
              <w:rFonts w:eastAsiaTheme="minorEastAsia"/>
              <w:sz w:val="24"/>
              <w:szCs w:val="24"/>
              <w:lang w:val="en-US"/>
            </w:rPr>
          </w:pPr>
          <w:hyperlink w:anchor="_Toc454366455" w:history="1">
            <w:r w:rsidR="00C62321" w:rsidRPr="00E12C22">
              <w:rPr>
                <w:rStyle w:val="Hipersaite"/>
              </w:rPr>
              <w:t>2.2</w:t>
            </w:r>
            <w:r w:rsidR="00C62321">
              <w:rPr>
                <w:rFonts w:eastAsiaTheme="minorEastAsia"/>
                <w:sz w:val="24"/>
                <w:szCs w:val="24"/>
                <w:lang w:val="en-US"/>
              </w:rPr>
              <w:tab/>
            </w:r>
            <w:r w:rsidR="00C62321" w:rsidRPr="00E12C22">
              <w:rPr>
                <w:rStyle w:val="Hipersaite"/>
              </w:rPr>
              <w:t>Actions taken to promote certification amongst feedstock supplier</w:t>
            </w:r>
            <w:r w:rsidR="00C62321">
              <w:rPr>
                <w:webHidden/>
              </w:rPr>
              <w:tab/>
            </w:r>
            <w:r w:rsidR="00C62321">
              <w:rPr>
                <w:webHidden/>
              </w:rPr>
              <w:fldChar w:fldCharType="begin"/>
            </w:r>
            <w:r w:rsidR="00C62321">
              <w:rPr>
                <w:webHidden/>
              </w:rPr>
              <w:instrText xml:space="preserve"> PAGEREF _Toc454366455 \h </w:instrText>
            </w:r>
            <w:r w:rsidR="00C62321">
              <w:rPr>
                <w:webHidden/>
              </w:rPr>
            </w:r>
            <w:r w:rsidR="00C62321">
              <w:rPr>
                <w:webHidden/>
              </w:rPr>
              <w:fldChar w:fldCharType="separate"/>
            </w:r>
            <w:r>
              <w:rPr>
                <w:webHidden/>
              </w:rPr>
              <w:t>7</w:t>
            </w:r>
            <w:r w:rsidR="00C62321">
              <w:rPr>
                <w:webHidden/>
              </w:rPr>
              <w:fldChar w:fldCharType="end"/>
            </w:r>
          </w:hyperlink>
        </w:p>
        <w:p w14:paraId="7FAC1FA1" w14:textId="10125568" w:rsidR="00C62321" w:rsidRDefault="002E5EBA">
          <w:pPr>
            <w:pStyle w:val="Saturs2"/>
            <w:rPr>
              <w:rFonts w:eastAsiaTheme="minorEastAsia"/>
              <w:sz w:val="24"/>
              <w:szCs w:val="24"/>
              <w:lang w:val="en-US"/>
            </w:rPr>
          </w:pPr>
          <w:hyperlink w:anchor="_Toc454366456" w:history="1">
            <w:r w:rsidR="00C62321" w:rsidRPr="00E12C22">
              <w:rPr>
                <w:rStyle w:val="Hipersaite"/>
              </w:rPr>
              <w:t>2.3</w:t>
            </w:r>
            <w:r w:rsidR="00C62321">
              <w:rPr>
                <w:rFonts w:eastAsiaTheme="minorEastAsia"/>
                <w:sz w:val="24"/>
                <w:szCs w:val="24"/>
                <w:lang w:val="en-US"/>
              </w:rPr>
              <w:tab/>
            </w:r>
            <w:r w:rsidR="00C62321" w:rsidRPr="00E12C22">
              <w:rPr>
                <w:rStyle w:val="Hipersaite"/>
              </w:rPr>
              <w:t>Final harvest sampling programme</w:t>
            </w:r>
            <w:r w:rsidR="00C62321">
              <w:rPr>
                <w:webHidden/>
              </w:rPr>
              <w:tab/>
            </w:r>
            <w:r w:rsidR="00C62321">
              <w:rPr>
                <w:webHidden/>
              </w:rPr>
              <w:fldChar w:fldCharType="begin"/>
            </w:r>
            <w:r w:rsidR="00C62321">
              <w:rPr>
                <w:webHidden/>
              </w:rPr>
              <w:instrText xml:space="preserve"> PAGEREF _Toc454366456 \h </w:instrText>
            </w:r>
            <w:r w:rsidR="00C62321">
              <w:rPr>
                <w:webHidden/>
              </w:rPr>
            </w:r>
            <w:r w:rsidR="00C62321">
              <w:rPr>
                <w:webHidden/>
              </w:rPr>
              <w:fldChar w:fldCharType="separate"/>
            </w:r>
            <w:r>
              <w:rPr>
                <w:webHidden/>
              </w:rPr>
              <w:t>7</w:t>
            </w:r>
            <w:r w:rsidR="00C62321">
              <w:rPr>
                <w:webHidden/>
              </w:rPr>
              <w:fldChar w:fldCharType="end"/>
            </w:r>
          </w:hyperlink>
        </w:p>
        <w:p w14:paraId="09465AA1" w14:textId="39927510" w:rsidR="00C62321" w:rsidRDefault="002E5EBA">
          <w:pPr>
            <w:pStyle w:val="Saturs2"/>
            <w:rPr>
              <w:rFonts w:eastAsiaTheme="minorEastAsia"/>
              <w:sz w:val="24"/>
              <w:szCs w:val="24"/>
              <w:lang w:val="en-US"/>
            </w:rPr>
          </w:pPr>
          <w:hyperlink w:anchor="_Toc454366457" w:history="1">
            <w:r w:rsidR="00C62321" w:rsidRPr="00E12C22">
              <w:rPr>
                <w:rStyle w:val="Hipersaite"/>
              </w:rPr>
              <w:t>2.4</w:t>
            </w:r>
            <w:r w:rsidR="00C62321">
              <w:rPr>
                <w:rFonts w:eastAsiaTheme="minorEastAsia"/>
                <w:sz w:val="24"/>
                <w:szCs w:val="24"/>
                <w:lang w:val="en-US"/>
              </w:rPr>
              <w:tab/>
            </w:r>
            <w:r w:rsidR="00C62321" w:rsidRPr="00E12C22">
              <w:rPr>
                <w:rStyle w:val="Hipersaite"/>
              </w:rPr>
              <w:t>Flow diagram of feedstock inputs showing feedstock type [optional]</w:t>
            </w:r>
            <w:r w:rsidR="00C62321">
              <w:rPr>
                <w:webHidden/>
              </w:rPr>
              <w:tab/>
            </w:r>
            <w:r w:rsidR="00C62321">
              <w:rPr>
                <w:webHidden/>
              </w:rPr>
              <w:fldChar w:fldCharType="begin"/>
            </w:r>
            <w:r w:rsidR="00C62321">
              <w:rPr>
                <w:webHidden/>
              </w:rPr>
              <w:instrText xml:space="preserve"> PAGEREF _Toc454366457 \h </w:instrText>
            </w:r>
            <w:r w:rsidR="00C62321">
              <w:rPr>
                <w:webHidden/>
              </w:rPr>
            </w:r>
            <w:r w:rsidR="00C62321">
              <w:rPr>
                <w:webHidden/>
              </w:rPr>
              <w:fldChar w:fldCharType="separate"/>
            </w:r>
            <w:r>
              <w:rPr>
                <w:webHidden/>
              </w:rPr>
              <w:t>7</w:t>
            </w:r>
            <w:r w:rsidR="00C62321">
              <w:rPr>
                <w:webHidden/>
              </w:rPr>
              <w:fldChar w:fldCharType="end"/>
            </w:r>
          </w:hyperlink>
        </w:p>
        <w:p w14:paraId="6B0F7EC5" w14:textId="517CE2F2" w:rsidR="00C62321" w:rsidRDefault="002E5EBA">
          <w:pPr>
            <w:pStyle w:val="Saturs2"/>
            <w:rPr>
              <w:rFonts w:eastAsiaTheme="minorEastAsia"/>
              <w:sz w:val="24"/>
              <w:szCs w:val="24"/>
              <w:lang w:val="en-US"/>
            </w:rPr>
          </w:pPr>
          <w:hyperlink w:anchor="_Toc454366458" w:history="1">
            <w:r w:rsidR="00C62321" w:rsidRPr="00E12C22">
              <w:rPr>
                <w:rStyle w:val="Hipersaite"/>
              </w:rPr>
              <w:t>2.5</w:t>
            </w:r>
            <w:r w:rsidR="00C62321">
              <w:rPr>
                <w:rFonts w:eastAsiaTheme="minorEastAsia"/>
                <w:sz w:val="24"/>
                <w:szCs w:val="24"/>
                <w:lang w:val="en-US"/>
              </w:rPr>
              <w:tab/>
            </w:r>
            <w:r w:rsidR="00C62321" w:rsidRPr="00E12C22">
              <w:rPr>
                <w:rStyle w:val="Hipersaite"/>
              </w:rPr>
              <w:t>Quantification of the Supply Base</w:t>
            </w:r>
            <w:r w:rsidR="00C62321">
              <w:rPr>
                <w:webHidden/>
              </w:rPr>
              <w:tab/>
            </w:r>
            <w:r w:rsidR="00C62321">
              <w:rPr>
                <w:webHidden/>
              </w:rPr>
              <w:fldChar w:fldCharType="begin"/>
            </w:r>
            <w:r w:rsidR="00C62321">
              <w:rPr>
                <w:webHidden/>
              </w:rPr>
              <w:instrText xml:space="preserve"> PAGEREF _Toc454366458 \h </w:instrText>
            </w:r>
            <w:r w:rsidR="00C62321">
              <w:rPr>
                <w:webHidden/>
              </w:rPr>
            </w:r>
            <w:r w:rsidR="00C62321">
              <w:rPr>
                <w:webHidden/>
              </w:rPr>
              <w:fldChar w:fldCharType="separate"/>
            </w:r>
            <w:r>
              <w:rPr>
                <w:webHidden/>
              </w:rPr>
              <w:t>7</w:t>
            </w:r>
            <w:r w:rsidR="00C62321">
              <w:rPr>
                <w:webHidden/>
              </w:rPr>
              <w:fldChar w:fldCharType="end"/>
            </w:r>
          </w:hyperlink>
        </w:p>
        <w:p w14:paraId="4C7F32D1" w14:textId="110BC63D" w:rsidR="00C62321" w:rsidRDefault="002E5EBA" w:rsidP="00FB28B2">
          <w:pPr>
            <w:pStyle w:val="Saturs1"/>
            <w:rPr>
              <w:rFonts w:eastAsiaTheme="minorEastAsia"/>
              <w:sz w:val="24"/>
              <w:szCs w:val="24"/>
              <w:lang w:val="en-US"/>
            </w:rPr>
          </w:pPr>
          <w:hyperlink w:anchor="_Toc454366459" w:history="1">
            <w:r w:rsidR="00C62321" w:rsidRPr="00E12C22">
              <w:rPr>
                <w:rStyle w:val="Hipersaite"/>
              </w:rPr>
              <w:t>3</w:t>
            </w:r>
            <w:r w:rsidR="00C62321">
              <w:rPr>
                <w:rFonts w:eastAsiaTheme="minorEastAsia"/>
                <w:sz w:val="24"/>
                <w:szCs w:val="24"/>
                <w:lang w:val="en-US"/>
              </w:rPr>
              <w:tab/>
            </w:r>
            <w:r w:rsidR="00C62321" w:rsidRPr="00E12C22">
              <w:rPr>
                <w:rStyle w:val="Hipersaite"/>
              </w:rPr>
              <w:t>Requirement for a Supply Base Evaluation</w:t>
            </w:r>
            <w:r w:rsidR="00C62321">
              <w:rPr>
                <w:webHidden/>
              </w:rPr>
              <w:tab/>
            </w:r>
            <w:r w:rsidR="00C62321">
              <w:rPr>
                <w:webHidden/>
              </w:rPr>
              <w:fldChar w:fldCharType="begin"/>
            </w:r>
            <w:r w:rsidR="00C62321">
              <w:rPr>
                <w:webHidden/>
              </w:rPr>
              <w:instrText xml:space="preserve"> PAGEREF _Toc454366459 \h </w:instrText>
            </w:r>
            <w:r w:rsidR="00C62321">
              <w:rPr>
                <w:webHidden/>
              </w:rPr>
            </w:r>
            <w:r w:rsidR="00C62321">
              <w:rPr>
                <w:webHidden/>
              </w:rPr>
              <w:fldChar w:fldCharType="separate"/>
            </w:r>
            <w:r>
              <w:rPr>
                <w:webHidden/>
              </w:rPr>
              <w:t>9</w:t>
            </w:r>
            <w:r w:rsidR="00C62321">
              <w:rPr>
                <w:webHidden/>
              </w:rPr>
              <w:fldChar w:fldCharType="end"/>
            </w:r>
          </w:hyperlink>
        </w:p>
        <w:p w14:paraId="46CD6174" w14:textId="7E568547" w:rsidR="00C62321" w:rsidRDefault="002E5EBA" w:rsidP="00FB28B2">
          <w:pPr>
            <w:pStyle w:val="Saturs1"/>
            <w:rPr>
              <w:rFonts w:eastAsiaTheme="minorEastAsia"/>
              <w:sz w:val="24"/>
              <w:szCs w:val="24"/>
              <w:lang w:val="en-US"/>
            </w:rPr>
          </w:pPr>
          <w:hyperlink w:anchor="_Toc454366460" w:history="1">
            <w:r w:rsidR="00C62321" w:rsidRPr="00E12C22">
              <w:rPr>
                <w:rStyle w:val="Hipersaite"/>
              </w:rPr>
              <w:t>4</w:t>
            </w:r>
            <w:r w:rsidR="00C62321">
              <w:rPr>
                <w:rFonts w:eastAsiaTheme="minorEastAsia"/>
                <w:sz w:val="24"/>
                <w:szCs w:val="24"/>
                <w:lang w:val="en-US"/>
              </w:rPr>
              <w:tab/>
            </w:r>
            <w:r w:rsidR="00C62321" w:rsidRPr="00E12C22">
              <w:rPr>
                <w:rStyle w:val="Hipersaite"/>
              </w:rPr>
              <w:t>Supply Base Evaluation</w:t>
            </w:r>
            <w:r w:rsidR="00C62321">
              <w:rPr>
                <w:webHidden/>
              </w:rPr>
              <w:tab/>
            </w:r>
            <w:r w:rsidR="00C62321">
              <w:rPr>
                <w:webHidden/>
              </w:rPr>
              <w:fldChar w:fldCharType="begin"/>
            </w:r>
            <w:r w:rsidR="00C62321">
              <w:rPr>
                <w:webHidden/>
              </w:rPr>
              <w:instrText xml:space="preserve"> PAGEREF _Toc454366460 \h </w:instrText>
            </w:r>
            <w:r w:rsidR="00C62321">
              <w:rPr>
                <w:webHidden/>
              </w:rPr>
            </w:r>
            <w:r w:rsidR="00C62321">
              <w:rPr>
                <w:webHidden/>
              </w:rPr>
              <w:fldChar w:fldCharType="separate"/>
            </w:r>
            <w:r>
              <w:rPr>
                <w:webHidden/>
              </w:rPr>
              <w:t>10</w:t>
            </w:r>
            <w:r w:rsidR="00C62321">
              <w:rPr>
                <w:webHidden/>
              </w:rPr>
              <w:fldChar w:fldCharType="end"/>
            </w:r>
          </w:hyperlink>
        </w:p>
        <w:p w14:paraId="50207DB3" w14:textId="4323207C" w:rsidR="00C62321" w:rsidRDefault="002E5EBA">
          <w:pPr>
            <w:pStyle w:val="Saturs2"/>
            <w:rPr>
              <w:rFonts w:eastAsiaTheme="minorEastAsia"/>
              <w:sz w:val="24"/>
              <w:szCs w:val="24"/>
              <w:lang w:val="en-US"/>
            </w:rPr>
          </w:pPr>
          <w:hyperlink w:anchor="_Toc454366461" w:history="1">
            <w:r w:rsidR="00C62321" w:rsidRPr="00E12C22">
              <w:rPr>
                <w:rStyle w:val="Hipersaite"/>
              </w:rPr>
              <w:t>4.1</w:t>
            </w:r>
            <w:r w:rsidR="00C62321">
              <w:rPr>
                <w:rFonts w:eastAsiaTheme="minorEastAsia"/>
                <w:sz w:val="24"/>
                <w:szCs w:val="24"/>
                <w:lang w:val="en-US"/>
              </w:rPr>
              <w:tab/>
            </w:r>
            <w:r w:rsidR="00C62321" w:rsidRPr="00E12C22">
              <w:rPr>
                <w:rStyle w:val="Hipersaite"/>
              </w:rPr>
              <w:t>Scope</w:t>
            </w:r>
            <w:r w:rsidR="00C62321">
              <w:rPr>
                <w:webHidden/>
              </w:rPr>
              <w:tab/>
            </w:r>
            <w:r w:rsidR="00C62321">
              <w:rPr>
                <w:webHidden/>
              </w:rPr>
              <w:fldChar w:fldCharType="begin"/>
            </w:r>
            <w:r w:rsidR="00C62321">
              <w:rPr>
                <w:webHidden/>
              </w:rPr>
              <w:instrText xml:space="preserve"> PAGEREF _Toc454366461 \h </w:instrText>
            </w:r>
            <w:r w:rsidR="00C62321">
              <w:rPr>
                <w:webHidden/>
              </w:rPr>
            </w:r>
            <w:r w:rsidR="00C62321">
              <w:rPr>
                <w:webHidden/>
              </w:rPr>
              <w:fldChar w:fldCharType="separate"/>
            </w:r>
            <w:r>
              <w:rPr>
                <w:webHidden/>
              </w:rPr>
              <w:t>10</w:t>
            </w:r>
            <w:r w:rsidR="00C62321">
              <w:rPr>
                <w:webHidden/>
              </w:rPr>
              <w:fldChar w:fldCharType="end"/>
            </w:r>
          </w:hyperlink>
        </w:p>
        <w:p w14:paraId="09831EB6" w14:textId="26C87921" w:rsidR="00C62321" w:rsidRDefault="002E5EBA">
          <w:pPr>
            <w:pStyle w:val="Saturs2"/>
            <w:rPr>
              <w:rFonts w:eastAsiaTheme="minorEastAsia"/>
              <w:sz w:val="24"/>
              <w:szCs w:val="24"/>
              <w:lang w:val="en-US"/>
            </w:rPr>
          </w:pPr>
          <w:hyperlink w:anchor="_Toc454366462" w:history="1">
            <w:r w:rsidR="00C62321" w:rsidRPr="00E12C22">
              <w:rPr>
                <w:rStyle w:val="Hipersaite"/>
              </w:rPr>
              <w:t>4.2</w:t>
            </w:r>
            <w:r w:rsidR="00C62321">
              <w:rPr>
                <w:rFonts w:eastAsiaTheme="minorEastAsia"/>
                <w:sz w:val="24"/>
                <w:szCs w:val="24"/>
                <w:lang w:val="en-US"/>
              </w:rPr>
              <w:tab/>
            </w:r>
            <w:r w:rsidR="00C62321" w:rsidRPr="00E12C22">
              <w:rPr>
                <w:rStyle w:val="Hipersaite"/>
              </w:rPr>
              <w:t>Justification</w:t>
            </w:r>
            <w:r w:rsidR="00C62321">
              <w:rPr>
                <w:webHidden/>
              </w:rPr>
              <w:tab/>
            </w:r>
            <w:r w:rsidR="00C62321">
              <w:rPr>
                <w:webHidden/>
              </w:rPr>
              <w:fldChar w:fldCharType="begin"/>
            </w:r>
            <w:r w:rsidR="00C62321">
              <w:rPr>
                <w:webHidden/>
              </w:rPr>
              <w:instrText xml:space="preserve"> PAGEREF _Toc454366462 \h </w:instrText>
            </w:r>
            <w:r w:rsidR="00C62321">
              <w:rPr>
                <w:webHidden/>
              </w:rPr>
            </w:r>
            <w:r w:rsidR="00C62321">
              <w:rPr>
                <w:webHidden/>
              </w:rPr>
              <w:fldChar w:fldCharType="separate"/>
            </w:r>
            <w:r>
              <w:rPr>
                <w:webHidden/>
              </w:rPr>
              <w:t>10</w:t>
            </w:r>
            <w:r w:rsidR="00C62321">
              <w:rPr>
                <w:webHidden/>
              </w:rPr>
              <w:fldChar w:fldCharType="end"/>
            </w:r>
          </w:hyperlink>
        </w:p>
        <w:p w14:paraId="063DE810" w14:textId="4BE3EBD7" w:rsidR="00C62321" w:rsidRDefault="002E5EBA">
          <w:pPr>
            <w:pStyle w:val="Saturs2"/>
            <w:rPr>
              <w:rFonts w:eastAsiaTheme="minorEastAsia"/>
              <w:sz w:val="24"/>
              <w:szCs w:val="24"/>
              <w:lang w:val="en-US"/>
            </w:rPr>
          </w:pPr>
          <w:hyperlink w:anchor="_Toc454366463" w:history="1">
            <w:r w:rsidR="00C62321" w:rsidRPr="00E12C22">
              <w:rPr>
                <w:rStyle w:val="Hipersaite"/>
              </w:rPr>
              <w:t>4.3</w:t>
            </w:r>
            <w:r w:rsidR="00C62321">
              <w:rPr>
                <w:rFonts w:eastAsiaTheme="minorEastAsia"/>
                <w:sz w:val="24"/>
                <w:szCs w:val="24"/>
                <w:lang w:val="en-US"/>
              </w:rPr>
              <w:tab/>
            </w:r>
            <w:r w:rsidR="00C62321" w:rsidRPr="00E12C22">
              <w:rPr>
                <w:rStyle w:val="Hipersaite"/>
              </w:rPr>
              <w:t>Results of Risk Assessment</w:t>
            </w:r>
            <w:r w:rsidR="00C62321">
              <w:rPr>
                <w:webHidden/>
              </w:rPr>
              <w:tab/>
            </w:r>
            <w:r w:rsidR="00C62321">
              <w:rPr>
                <w:webHidden/>
              </w:rPr>
              <w:fldChar w:fldCharType="begin"/>
            </w:r>
            <w:r w:rsidR="00C62321">
              <w:rPr>
                <w:webHidden/>
              </w:rPr>
              <w:instrText xml:space="preserve"> PAGEREF _Toc454366463 \h </w:instrText>
            </w:r>
            <w:r w:rsidR="00C62321">
              <w:rPr>
                <w:webHidden/>
              </w:rPr>
            </w:r>
            <w:r w:rsidR="00C62321">
              <w:rPr>
                <w:webHidden/>
              </w:rPr>
              <w:fldChar w:fldCharType="separate"/>
            </w:r>
            <w:r>
              <w:rPr>
                <w:webHidden/>
              </w:rPr>
              <w:t>10</w:t>
            </w:r>
            <w:r w:rsidR="00C62321">
              <w:rPr>
                <w:webHidden/>
              </w:rPr>
              <w:fldChar w:fldCharType="end"/>
            </w:r>
          </w:hyperlink>
        </w:p>
        <w:p w14:paraId="0FFC6D48" w14:textId="5B57BC46" w:rsidR="00C62321" w:rsidRDefault="002E5EBA">
          <w:pPr>
            <w:pStyle w:val="Saturs2"/>
            <w:rPr>
              <w:rFonts w:eastAsiaTheme="minorEastAsia"/>
              <w:sz w:val="24"/>
              <w:szCs w:val="24"/>
              <w:lang w:val="en-US"/>
            </w:rPr>
          </w:pPr>
          <w:hyperlink w:anchor="_Toc454366464" w:history="1">
            <w:r w:rsidR="00C62321" w:rsidRPr="00E12C22">
              <w:rPr>
                <w:rStyle w:val="Hipersaite"/>
              </w:rPr>
              <w:t>4.4</w:t>
            </w:r>
            <w:r w:rsidR="00C62321">
              <w:rPr>
                <w:rFonts w:eastAsiaTheme="minorEastAsia"/>
                <w:sz w:val="24"/>
                <w:szCs w:val="24"/>
                <w:lang w:val="en-US"/>
              </w:rPr>
              <w:tab/>
            </w:r>
            <w:r w:rsidR="00C62321" w:rsidRPr="00E12C22">
              <w:rPr>
                <w:rStyle w:val="Hipersaite"/>
              </w:rPr>
              <w:t>Results of Supplier Verification Programme</w:t>
            </w:r>
            <w:r w:rsidR="00C62321">
              <w:rPr>
                <w:webHidden/>
              </w:rPr>
              <w:tab/>
            </w:r>
            <w:r w:rsidR="00C62321">
              <w:rPr>
                <w:webHidden/>
              </w:rPr>
              <w:fldChar w:fldCharType="begin"/>
            </w:r>
            <w:r w:rsidR="00C62321">
              <w:rPr>
                <w:webHidden/>
              </w:rPr>
              <w:instrText xml:space="preserve"> PAGEREF _Toc454366464 \h </w:instrText>
            </w:r>
            <w:r w:rsidR="00C62321">
              <w:rPr>
                <w:webHidden/>
              </w:rPr>
            </w:r>
            <w:r w:rsidR="00C62321">
              <w:rPr>
                <w:webHidden/>
              </w:rPr>
              <w:fldChar w:fldCharType="separate"/>
            </w:r>
            <w:r>
              <w:rPr>
                <w:webHidden/>
              </w:rPr>
              <w:t>10</w:t>
            </w:r>
            <w:r w:rsidR="00C62321">
              <w:rPr>
                <w:webHidden/>
              </w:rPr>
              <w:fldChar w:fldCharType="end"/>
            </w:r>
          </w:hyperlink>
        </w:p>
        <w:p w14:paraId="61F910DC" w14:textId="2CA025EE" w:rsidR="00C62321" w:rsidRDefault="002E5EBA">
          <w:pPr>
            <w:pStyle w:val="Saturs2"/>
            <w:rPr>
              <w:rFonts w:eastAsiaTheme="minorEastAsia"/>
              <w:sz w:val="24"/>
              <w:szCs w:val="24"/>
              <w:lang w:val="en-US"/>
            </w:rPr>
          </w:pPr>
          <w:hyperlink w:anchor="_Toc454366465" w:history="1">
            <w:r w:rsidR="00C62321" w:rsidRPr="00E12C22">
              <w:rPr>
                <w:rStyle w:val="Hipersaite"/>
              </w:rPr>
              <w:t>4.5</w:t>
            </w:r>
            <w:r w:rsidR="00C62321">
              <w:rPr>
                <w:rFonts w:eastAsiaTheme="minorEastAsia"/>
                <w:sz w:val="24"/>
                <w:szCs w:val="24"/>
                <w:lang w:val="en-US"/>
              </w:rPr>
              <w:tab/>
            </w:r>
            <w:r w:rsidR="00C62321" w:rsidRPr="00E12C22">
              <w:rPr>
                <w:rStyle w:val="Hipersaite"/>
              </w:rPr>
              <w:t>Conclusion</w:t>
            </w:r>
            <w:r w:rsidR="00C62321">
              <w:rPr>
                <w:webHidden/>
              </w:rPr>
              <w:tab/>
            </w:r>
            <w:r w:rsidR="00C62321">
              <w:rPr>
                <w:webHidden/>
              </w:rPr>
              <w:fldChar w:fldCharType="begin"/>
            </w:r>
            <w:r w:rsidR="00C62321">
              <w:rPr>
                <w:webHidden/>
              </w:rPr>
              <w:instrText xml:space="preserve"> PAGEREF _Toc454366465 \h </w:instrText>
            </w:r>
            <w:r w:rsidR="00C62321">
              <w:rPr>
                <w:webHidden/>
              </w:rPr>
            </w:r>
            <w:r w:rsidR="00C62321">
              <w:rPr>
                <w:webHidden/>
              </w:rPr>
              <w:fldChar w:fldCharType="separate"/>
            </w:r>
            <w:r>
              <w:rPr>
                <w:webHidden/>
              </w:rPr>
              <w:t>11</w:t>
            </w:r>
            <w:r w:rsidR="00C62321">
              <w:rPr>
                <w:webHidden/>
              </w:rPr>
              <w:fldChar w:fldCharType="end"/>
            </w:r>
          </w:hyperlink>
        </w:p>
        <w:p w14:paraId="2B08C07C" w14:textId="0E250ABF" w:rsidR="00C62321" w:rsidRDefault="002E5EBA" w:rsidP="00FB28B2">
          <w:pPr>
            <w:pStyle w:val="Saturs1"/>
            <w:rPr>
              <w:rFonts w:eastAsiaTheme="minorEastAsia"/>
              <w:sz w:val="24"/>
              <w:szCs w:val="24"/>
              <w:lang w:val="en-US"/>
            </w:rPr>
          </w:pPr>
          <w:hyperlink w:anchor="_Toc454366466" w:history="1">
            <w:r w:rsidR="00C62321" w:rsidRPr="00E12C22">
              <w:rPr>
                <w:rStyle w:val="Hipersaite"/>
              </w:rPr>
              <w:t>5</w:t>
            </w:r>
            <w:r w:rsidR="00C62321">
              <w:rPr>
                <w:rFonts w:eastAsiaTheme="minorEastAsia"/>
                <w:sz w:val="24"/>
                <w:szCs w:val="24"/>
                <w:lang w:val="en-US"/>
              </w:rPr>
              <w:tab/>
            </w:r>
            <w:r w:rsidR="00C62321" w:rsidRPr="00E12C22">
              <w:rPr>
                <w:rStyle w:val="Hipersaite"/>
              </w:rPr>
              <w:t>Supply Base Evaluation Process</w:t>
            </w:r>
            <w:r w:rsidR="00C62321">
              <w:rPr>
                <w:webHidden/>
              </w:rPr>
              <w:tab/>
            </w:r>
            <w:r w:rsidR="00C62321">
              <w:rPr>
                <w:webHidden/>
              </w:rPr>
              <w:fldChar w:fldCharType="begin"/>
            </w:r>
            <w:r w:rsidR="00C62321">
              <w:rPr>
                <w:webHidden/>
              </w:rPr>
              <w:instrText xml:space="preserve"> PAGEREF _Toc454366466 \h </w:instrText>
            </w:r>
            <w:r w:rsidR="00C62321">
              <w:rPr>
                <w:webHidden/>
              </w:rPr>
            </w:r>
            <w:r w:rsidR="00C62321">
              <w:rPr>
                <w:webHidden/>
              </w:rPr>
              <w:fldChar w:fldCharType="separate"/>
            </w:r>
            <w:r>
              <w:rPr>
                <w:webHidden/>
              </w:rPr>
              <w:t>12</w:t>
            </w:r>
            <w:r w:rsidR="00C62321">
              <w:rPr>
                <w:webHidden/>
              </w:rPr>
              <w:fldChar w:fldCharType="end"/>
            </w:r>
          </w:hyperlink>
        </w:p>
        <w:p w14:paraId="09CD127E" w14:textId="03160802" w:rsidR="00C62321" w:rsidRDefault="002E5EBA" w:rsidP="00FB28B2">
          <w:pPr>
            <w:pStyle w:val="Saturs1"/>
            <w:rPr>
              <w:rFonts w:eastAsiaTheme="minorEastAsia"/>
              <w:sz w:val="24"/>
              <w:szCs w:val="24"/>
              <w:lang w:val="en-US"/>
            </w:rPr>
          </w:pPr>
          <w:hyperlink w:anchor="_Toc454366467" w:history="1">
            <w:r w:rsidR="00C62321" w:rsidRPr="00E12C22">
              <w:rPr>
                <w:rStyle w:val="Hipersaite"/>
              </w:rPr>
              <w:t>6</w:t>
            </w:r>
            <w:r w:rsidR="00C62321">
              <w:rPr>
                <w:rFonts w:eastAsiaTheme="minorEastAsia"/>
                <w:sz w:val="24"/>
                <w:szCs w:val="24"/>
                <w:lang w:val="en-US"/>
              </w:rPr>
              <w:tab/>
            </w:r>
            <w:r w:rsidR="00C62321" w:rsidRPr="00E12C22">
              <w:rPr>
                <w:rStyle w:val="Hipersaite"/>
              </w:rPr>
              <w:t>Stakeholder Consultation</w:t>
            </w:r>
            <w:r w:rsidR="00C62321">
              <w:rPr>
                <w:webHidden/>
              </w:rPr>
              <w:tab/>
            </w:r>
            <w:r w:rsidR="00C62321">
              <w:rPr>
                <w:webHidden/>
              </w:rPr>
              <w:fldChar w:fldCharType="begin"/>
            </w:r>
            <w:r w:rsidR="00C62321">
              <w:rPr>
                <w:webHidden/>
              </w:rPr>
              <w:instrText xml:space="preserve"> PAGEREF _Toc454366467 \h </w:instrText>
            </w:r>
            <w:r w:rsidR="00C62321">
              <w:rPr>
                <w:webHidden/>
              </w:rPr>
            </w:r>
            <w:r w:rsidR="00C62321">
              <w:rPr>
                <w:webHidden/>
              </w:rPr>
              <w:fldChar w:fldCharType="separate"/>
            </w:r>
            <w:r>
              <w:rPr>
                <w:webHidden/>
              </w:rPr>
              <w:t>13</w:t>
            </w:r>
            <w:r w:rsidR="00C62321">
              <w:rPr>
                <w:webHidden/>
              </w:rPr>
              <w:fldChar w:fldCharType="end"/>
            </w:r>
          </w:hyperlink>
        </w:p>
        <w:p w14:paraId="1B4B1D27" w14:textId="02EE1C7F" w:rsidR="00C62321" w:rsidRDefault="002E5EBA">
          <w:pPr>
            <w:pStyle w:val="Saturs2"/>
            <w:rPr>
              <w:rFonts w:eastAsiaTheme="minorEastAsia"/>
              <w:sz w:val="24"/>
              <w:szCs w:val="24"/>
              <w:lang w:val="en-US"/>
            </w:rPr>
          </w:pPr>
          <w:hyperlink w:anchor="_Toc454366468" w:history="1">
            <w:r w:rsidR="00C62321" w:rsidRPr="00E12C22">
              <w:rPr>
                <w:rStyle w:val="Hipersaite"/>
              </w:rPr>
              <w:t>6.1</w:t>
            </w:r>
            <w:r w:rsidR="00C62321">
              <w:rPr>
                <w:rFonts w:eastAsiaTheme="minorEastAsia"/>
                <w:sz w:val="24"/>
                <w:szCs w:val="24"/>
                <w:lang w:val="en-US"/>
              </w:rPr>
              <w:tab/>
            </w:r>
            <w:r w:rsidR="00C62321" w:rsidRPr="00E12C22">
              <w:rPr>
                <w:rStyle w:val="Hipersaite"/>
              </w:rPr>
              <w:t>Response to stakeholder comments</w:t>
            </w:r>
            <w:r w:rsidR="00C62321">
              <w:rPr>
                <w:webHidden/>
              </w:rPr>
              <w:tab/>
            </w:r>
            <w:r w:rsidR="00C62321">
              <w:rPr>
                <w:webHidden/>
              </w:rPr>
              <w:fldChar w:fldCharType="begin"/>
            </w:r>
            <w:r w:rsidR="00C62321">
              <w:rPr>
                <w:webHidden/>
              </w:rPr>
              <w:instrText xml:space="preserve"> PAGEREF _Toc454366468 \h </w:instrText>
            </w:r>
            <w:r w:rsidR="00C62321">
              <w:rPr>
                <w:webHidden/>
              </w:rPr>
            </w:r>
            <w:r w:rsidR="00C62321">
              <w:rPr>
                <w:webHidden/>
              </w:rPr>
              <w:fldChar w:fldCharType="separate"/>
            </w:r>
            <w:r>
              <w:rPr>
                <w:webHidden/>
              </w:rPr>
              <w:t>13</w:t>
            </w:r>
            <w:r w:rsidR="00C62321">
              <w:rPr>
                <w:webHidden/>
              </w:rPr>
              <w:fldChar w:fldCharType="end"/>
            </w:r>
          </w:hyperlink>
        </w:p>
        <w:p w14:paraId="2BAA2F8B" w14:textId="23F3E768" w:rsidR="00C62321" w:rsidRDefault="002E5EBA" w:rsidP="00FB28B2">
          <w:pPr>
            <w:pStyle w:val="Saturs1"/>
            <w:rPr>
              <w:rFonts w:eastAsiaTheme="minorEastAsia"/>
              <w:sz w:val="24"/>
              <w:szCs w:val="24"/>
              <w:lang w:val="en-US"/>
            </w:rPr>
          </w:pPr>
          <w:hyperlink w:anchor="_Toc454366469" w:history="1">
            <w:r w:rsidR="00C62321" w:rsidRPr="00E12C22">
              <w:rPr>
                <w:rStyle w:val="Hipersaite"/>
              </w:rPr>
              <w:t>7</w:t>
            </w:r>
            <w:r w:rsidR="00C62321">
              <w:rPr>
                <w:rFonts w:eastAsiaTheme="minorEastAsia"/>
                <w:sz w:val="24"/>
                <w:szCs w:val="24"/>
                <w:lang w:val="en-US"/>
              </w:rPr>
              <w:tab/>
            </w:r>
            <w:r w:rsidR="00C62321" w:rsidRPr="00E12C22">
              <w:rPr>
                <w:rStyle w:val="Hipersaite"/>
              </w:rPr>
              <w:t>Overview of Initial Assessment of Risk</w:t>
            </w:r>
            <w:r w:rsidR="00C62321">
              <w:rPr>
                <w:webHidden/>
              </w:rPr>
              <w:tab/>
            </w:r>
            <w:r w:rsidR="00C62321">
              <w:rPr>
                <w:webHidden/>
              </w:rPr>
              <w:fldChar w:fldCharType="begin"/>
            </w:r>
            <w:r w:rsidR="00C62321">
              <w:rPr>
                <w:webHidden/>
              </w:rPr>
              <w:instrText xml:space="preserve"> PAGEREF _Toc454366469 \h </w:instrText>
            </w:r>
            <w:r w:rsidR="00C62321">
              <w:rPr>
                <w:webHidden/>
              </w:rPr>
            </w:r>
            <w:r w:rsidR="00C62321">
              <w:rPr>
                <w:webHidden/>
              </w:rPr>
              <w:fldChar w:fldCharType="separate"/>
            </w:r>
            <w:r>
              <w:rPr>
                <w:webHidden/>
              </w:rPr>
              <w:t>14</w:t>
            </w:r>
            <w:r w:rsidR="00C62321">
              <w:rPr>
                <w:webHidden/>
              </w:rPr>
              <w:fldChar w:fldCharType="end"/>
            </w:r>
          </w:hyperlink>
        </w:p>
        <w:p w14:paraId="3AEEC130" w14:textId="4D9A0E06" w:rsidR="00C62321" w:rsidRDefault="002E5EBA" w:rsidP="00FB28B2">
          <w:pPr>
            <w:pStyle w:val="Saturs1"/>
            <w:rPr>
              <w:rFonts w:eastAsiaTheme="minorEastAsia"/>
              <w:sz w:val="24"/>
              <w:szCs w:val="24"/>
              <w:lang w:val="en-US"/>
            </w:rPr>
          </w:pPr>
          <w:hyperlink w:anchor="_Toc454366470" w:history="1">
            <w:r w:rsidR="00C62321" w:rsidRPr="00E12C22">
              <w:rPr>
                <w:rStyle w:val="Hipersaite"/>
              </w:rPr>
              <w:t>8</w:t>
            </w:r>
            <w:r w:rsidR="00C62321">
              <w:rPr>
                <w:rFonts w:eastAsiaTheme="minorEastAsia"/>
                <w:sz w:val="24"/>
                <w:szCs w:val="24"/>
                <w:lang w:val="en-US"/>
              </w:rPr>
              <w:tab/>
            </w:r>
            <w:r w:rsidR="00C62321" w:rsidRPr="00E12C22">
              <w:rPr>
                <w:rStyle w:val="Hipersaite"/>
              </w:rPr>
              <w:t>Supplier Verification Programme</w:t>
            </w:r>
            <w:r w:rsidR="00C62321">
              <w:rPr>
                <w:webHidden/>
              </w:rPr>
              <w:tab/>
            </w:r>
            <w:r w:rsidR="00C62321">
              <w:rPr>
                <w:webHidden/>
              </w:rPr>
              <w:fldChar w:fldCharType="begin"/>
            </w:r>
            <w:r w:rsidR="00C62321">
              <w:rPr>
                <w:webHidden/>
              </w:rPr>
              <w:instrText xml:space="preserve"> PAGEREF _Toc454366470 \h </w:instrText>
            </w:r>
            <w:r w:rsidR="00C62321">
              <w:rPr>
                <w:webHidden/>
              </w:rPr>
            </w:r>
            <w:r w:rsidR="00C62321">
              <w:rPr>
                <w:webHidden/>
              </w:rPr>
              <w:fldChar w:fldCharType="separate"/>
            </w:r>
            <w:r>
              <w:rPr>
                <w:webHidden/>
              </w:rPr>
              <w:t>17</w:t>
            </w:r>
            <w:r w:rsidR="00C62321">
              <w:rPr>
                <w:webHidden/>
              </w:rPr>
              <w:fldChar w:fldCharType="end"/>
            </w:r>
          </w:hyperlink>
        </w:p>
        <w:p w14:paraId="7476122B" w14:textId="18DC8CB4" w:rsidR="00C62321" w:rsidRDefault="002E5EBA">
          <w:pPr>
            <w:pStyle w:val="Saturs2"/>
            <w:rPr>
              <w:rFonts w:eastAsiaTheme="minorEastAsia"/>
              <w:sz w:val="24"/>
              <w:szCs w:val="24"/>
              <w:lang w:val="en-US"/>
            </w:rPr>
          </w:pPr>
          <w:hyperlink w:anchor="_Toc454366471" w:history="1">
            <w:r w:rsidR="00C62321" w:rsidRPr="00E12C22">
              <w:rPr>
                <w:rStyle w:val="Hipersaite"/>
              </w:rPr>
              <w:t>8.1</w:t>
            </w:r>
            <w:r w:rsidR="00C62321">
              <w:rPr>
                <w:rFonts w:eastAsiaTheme="minorEastAsia"/>
                <w:sz w:val="24"/>
                <w:szCs w:val="24"/>
                <w:lang w:val="en-US"/>
              </w:rPr>
              <w:tab/>
            </w:r>
            <w:r w:rsidR="00C62321" w:rsidRPr="00E12C22">
              <w:rPr>
                <w:rStyle w:val="Hipersaite"/>
              </w:rPr>
              <w:t>Description of the Supplier Verification Programme</w:t>
            </w:r>
            <w:r w:rsidR="00C62321">
              <w:rPr>
                <w:webHidden/>
              </w:rPr>
              <w:tab/>
            </w:r>
            <w:r w:rsidR="00C62321">
              <w:rPr>
                <w:webHidden/>
              </w:rPr>
              <w:fldChar w:fldCharType="begin"/>
            </w:r>
            <w:r w:rsidR="00C62321">
              <w:rPr>
                <w:webHidden/>
              </w:rPr>
              <w:instrText xml:space="preserve"> PAGEREF _Toc454366471 \h </w:instrText>
            </w:r>
            <w:r w:rsidR="00C62321">
              <w:rPr>
                <w:webHidden/>
              </w:rPr>
            </w:r>
            <w:r w:rsidR="00C62321">
              <w:rPr>
                <w:webHidden/>
              </w:rPr>
              <w:fldChar w:fldCharType="separate"/>
            </w:r>
            <w:r>
              <w:rPr>
                <w:webHidden/>
              </w:rPr>
              <w:t>17</w:t>
            </w:r>
            <w:r w:rsidR="00C62321">
              <w:rPr>
                <w:webHidden/>
              </w:rPr>
              <w:fldChar w:fldCharType="end"/>
            </w:r>
          </w:hyperlink>
        </w:p>
        <w:p w14:paraId="70A4039D" w14:textId="292C983E" w:rsidR="00C62321" w:rsidRDefault="002E5EBA">
          <w:pPr>
            <w:pStyle w:val="Saturs2"/>
            <w:rPr>
              <w:rFonts w:eastAsiaTheme="minorEastAsia"/>
              <w:sz w:val="24"/>
              <w:szCs w:val="24"/>
              <w:lang w:val="en-US"/>
            </w:rPr>
          </w:pPr>
          <w:hyperlink w:anchor="_Toc454366472" w:history="1">
            <w:r w:rsidR="00C62321" w:rsidRPr="00E12C22">
              <w:rPr>
                <w:rStyle w:val="Hipersaite"/>
              </w:rPr>
              <w:t>8.2</w:t>
            </w:r>
            <w:r w:rsidR="00C62321">
              <w:rPr>
                <w:rFonts w:eastAsiaTheme="minorEastAsia"/>
                <w:sz w:val="24"/>
                <w:szCs w:val="24"/>
                <w:lang w:val="en-US"/>
              </w:rPr>
              <w:tab/>
            </w:r>
            <w:r w:rsidR="00C62321" w:rsidRPr="00E12C22">
              <w:rPr>
                <w:rStyle w:val="Hipersaite"/>
              </w:rPr>
              <w:t>Site visits</w:t>
            </w:r>
            <w:r w:rsidR="00C62321">
              <w:rPr>
                <w:webHidden/>
              </w:rPr>
              <w:tab/>
            </w:r>
            <w:r w:rsidR="00C62321">
              <w:rPr>
                <w:webHidden/>
              </w:rPr>
              <w:fldChar w:fldCharType="begin"/>
            </w:r>
            <w:r w:rsidR="00C62321">
              <w:rPr>
                <w:webHidden/>
              </w:rPr>
              <w:instrText xml:space="preserve"> PAGEREF _Toc454366472 \h </w:instrText>
            </w:r>
            <w:r w:rsidR="00C62321">
              <w:rPr>
                <w:webHidden/>
              </w:rPr>
            </w:r>
            <w:r w:rsidR="00C62321">
              <w:rPr>
                <w:webHidden/>
              </w:rPr>
              <w:fldChar w:fldCharType="separate"/>
            </w:r>
            <w:r>
              <w:rPr>
                <w:webHidden/>
              </w:rPr>
              <w:t>18</w:t>
            </w:r>
            <w:r w:rsidR="00C62321">
              <w:rPr>
                <w:webHidden/>
              </w:rPr>
              <w:fldChar w:fldCharType="end"/>
            </w:r>
          </w:hyperlink>
        </w:p>
        <w:p w14:paraId="5F2B91F3" w14:textId="63601177" w:rsidR="00C62321" w:rsidRDefault="002E5EBA">
          <w:pPr>
            <w:pStyle w:val="Saturs2"/>
            <w:rPr>
              <w:rFonts w:eastAsiaTheme="minorEastAsia"/>
              <w:sz w:val="24"/>
              <w:szCs w:val="24"/>
              <w:lang w:val="en-US"/>
            </w:rPr>
          </w:pPr>
          <w:hyperlink w:anchor="_Toc454366473" w:history="1">
            <w:r w:rsidR="00C62321" w:rsidRPr="00E12C22">
              <w:rPr>
                <w:rStyle w:val="Hipersaite"/>
              </w:rPr>
              <w:t>8.3</w:t>
            </w:r>
            <w:r w:rsidR="00C62321">
              <w:rPr>
                <w:rFonts w:eastAsiaTheme="minorEastAsia"/>
                <w:sz w:val="24"/>
                <w:szCs w:val="24"/>
                <w:lang w:val="en-US"/>
              </w:rPr>
              <w:tab/>
            </w:r>
            <w:r w:rsidR="00C62321" w:rsidRPr="00E12C22">
              <w:rPr>
                <w:rStyle w:val="Hipersaite"/>
              </w:rPr>
              <w:t>Conclusions from the Supplier Verification Programme</w:t>
            </w:r>
            <w:r w:rsidR="00C62321">
              <w:rPr>
                <w:webHidden/>
              </w:rPr>
              <w:tab/>
            </w:r>
            <w:r w:rsidR="00C62321">
              <w:rPr>
                <w:webHidden/>
              </w:rPr>
              <w:fldChar w:fldCharType="begin"/>
            </w:r>
            <w:r w:rsidR="00C62321">
              <w:rPr>
                <w:webHidden/>
              </w:rPr>
              <w:instrText xml:space="preserve"> PAGEREF _Toc454366473 \h </w:instrText>
            </w:r>
            <w:r w:rsidR="00C62321">
              <w:rPr>
                <w:webHidden/>
              </w:rPr>
            </w:r>
            <w:r w:rsidR="00C62321">
              <w:rPr>
                <w:webHidden/>
              </w:rPr>
              <w:fldChar w:fldCharType="separate"/>
            </w:r>
            <w:r>
              <w:rPr>
                <w:webHidden/>
              </w:rPr>
              <w:t>18</w:t>
            </w:r>
            <w:r w:rsidR="00C62321">
              <w:rPr>
                <w:webHidden/>
              </w:rPr>
              <w:fldChar w:fldCharType="end"/>
            </w:r>
          </w:hyperlink>
        </w:p>
        <w:p w14:paraId="258AF11E" w14:textId="26FDFB22" w:rsidR="00C62321" w:rsidRDefault="002E5EBA" w:rsidP="00FB28B2">
          <w:pPr>
            <w:pStyle w:val="Saturs1"/>
            <w:rPr>
              <w:rFonts w:eastAsiaTheme="minorEastAsia"/>
              <w:sz w:val="24"/>
              <w:szCs w:val="24"/>
              <w:lang w:val="en-US"/>
            </w:rPr>
          </w:pPr>
          <w:hyperlink w:anchor="_Toc454366474" w:history="1">
            <w:r w:rsidR="00C62321" w:rsidRPr="00E12C22">
              <w:rPr>
                <w:rStyle w:val="Hipersaite"/>
              </w:rPr>
              <w:t>9</w:t>
            </w:r>
            <w:r w:rsidR="00C62321">
              <w:rPr>
                <w:rFonts w:eastAsiaTheme="minorEastAsia"/>
                <w:sz w:val="24"/>
                <w:szCs w:val="24"/>
                <w:lang w:val="en-US"/>
              </w:rPr>
              <w:tab/>
            </w:r>
            <w:r w:rsidR="00C62321" w:rsidRPr="00E12C22">
              <w:rPr>
                <w:rStyle w:val="Hipersaite"/>
              </w:rPr>
              <w:t>Mitigation Measures</w:t>
            </w:r>
            <w:r w:rsidR="00C62321">
              <w:rPr>
                <w:webHidden/>
              </w:rPr>
              <w:tab/>
            </w:r>
            <w:r w:rsidR="00C62321">
              <w:rPr>
                <w:webHidden/>
              </w:rPr>
              <w:fldChar w:fldCharType="begin"/>
            </w:r>
            <w:r w:rsidR="00C62321">
              <w:rPr>
                <w:webHidden/>
              </w:rPr>
              <w:instrText xml:space="preserve"> PAGEREF _Toc454366474 \h </w:instrText>
            </w:r>
            <w:r w:rsidR="00C62321">
              <w:rPr>
                <w:webHidden/>
              </w:rPr>
            </w:r>
            <w:r w:rsidR="00C62321">
              <w:rPr>
                <w:webHidden/>
              </w:rPr>
              <w:fldChar w:fldCharType="separate"/>
            </w:r>
            <w:r>
              <w:rPr>
                <w:webHidden/>
              </w:rPr>
              <w:t>20</w:t>
            </w:r>
            <w:r w:rsidR="00C62321">
              <w:rPr>
                <w:webHidden/>
              </w:rPr>
              <w:fldChar w:fldCharType="end"/>
            </w:r>
          </w:hyperlink>
        </w:p>
        <w:p w14:paraId="5E50DD92" w14:textId="7C4188DF" w:rsidR="00C62321" w:rsidRDefault="002E5EBA">
          <w:pPr>
            <w:pStyle w:val="Saturs2"/>
            <w:rPr>
              <w:rFonts w:eastAsiaTheme="minorEastAsia"/>
              <w:sz w:val="24"/>
              <w:szCs w:val="24"/>
              <w:lang w:val="en-US"/>
            </w:rPr>
          </w:pPr>
          <w:hyperlink w:anchor="_Toc454366475" w:history="1">
            <w:r w:rsidR="00C62321" w:rsidRPr="00E12C22">
              <w:rPr>
                <w:rStyle w:val="Hipersaite"/>
              </w:rPr>
              <w:t>9.1</w:t>
            </w:r>
            <w:r w:rsidR="00C62321">
              <w:rPr>
                <w:rFonts w:eastAsiaTheme="minorEastAsia"/>
                <w:sz w:val="24"/>
                <w:szCs w:val="24"/>
                <w:lang w:val="en-US"/>
              </w:rPr>
              <w:tab/>
            </w:r>
            <w:r w:rsidR="00C62321" w:rsidRPr="00E12C22">
              <w:rPr>
                <w:rStyle w:val="Hipersaite"/>
              </w:rPr>
              <w:t>Mitigation measures</w:t>
            </w:r>
            <w:r w:rsidR="00C62321">
              <w:rPr>
                <w:webHidden/>
              </w:rPr>
              <w:tab/>
            </w:r>
            <w:r w:rsidR="00C62321">
              <w:rPr>
                <w:webHidden/>
              </w:rPr>
              <w:fldChar w:fldCharType="begin"/>
            </w:r>
            <w:r w:rsidR="00C62321">
              <w:rPr>
                <w:webHidden/>
              </w:rPr>
              <w:instrText xml:space="preserve"> PAGEREF _Toc454366475 \h </w:instrText>
            </w:r>
            <w:r w:rsidR="00C62321">
              <w:rPr>
                <w:webHidden/>
              </w:rPr>
            </w:r>
            <w:r w:rsidR="00C62321">
              <w:rPr>
                <w:webHidden/>
              </w:rPr>
              <w:fldChar w:fldCharType="separate"/>
            </w:r>
            <w:r>
              <w:rPr>
                <w:webHidden/>
              </w:rPr>
              <w:t>20</w:t>
            </w:r>
            <w:r w:rsidR="00C62321">
              <w:rPr>
                <w:webHidden/>
              </w:rPr>
              <w:fldChar w:fldCharType="end"/>
            </w:r>
          </w:hyperlink>
        </w:p>
        <w:p w14:paraId="5F51036D" w14:textId="452BD3B2" w:rsidR="00C62321" w:rsidRDefault="002E5EBA">
          <w:pPr>
            <w:pStyle w:val="Saturs2"/>
            <w:rPr>
              <w:rFonts w:eastAsiaTheme="minorEastAsia"/>
              <w:sz w:val="24"/>
              <w:szCs w:val="24"/>
              <w:lang w:val="en-US"/>
            </w:rPr>
          </w:pPr>
          <w:hyperlink w:anchor="_Toc454366476" w:history="1">
            <w:r w:rsidR="00C62321" w:rsidRPr="00E12C22">
              <w:rPr>
                <w:rStyle w:val="Hipersaite"/>
              </w:rPr>
              <w:t>9.2</w:t>
            </w:r>
            <w:r w:rsidR="00C62321">
              <w:rPr>
                <w:rFonts w:eastAsiaTheme="minorEastAsia"/>
                <w:sz w:val="24"/>
                <w:szCs w:val="24"/>
                <w:lang w:val="en-US"/>
              </w:rPr>
              <w:tab/>
            </w:r>
            <w:r w:rsidR="00C62321" w:rsidRPr="00E12C22">
              <w:rPr>
                <w:rStyle w:val="Hipersaite"/>
              </w:rPr>
              <w:t>Monitoring and outcomes</w:t>
            </w:r>
            <w:r w:rsidR="00C62321">
              <w:rPr>
                <w:webHidden/>
              </w:rPr>
              <w:tab/>
            </w:r>
            <w:r w:rsidR="00C62321">
              <w:rPr>
                <w:webHidden/>
              </w:rPr>
              <w:fldChar w:fldCharType="begin"/>
            </w:r>
            <w:r w:rsidR="00C62321">
              <w:rPr>
                <w:webHidden/>
              </w:rPr>
              <w:instrText xml:space="preserve"> PAGEREF _Toc454366476 \h </w:instrText>
            </w:r>
            <w:r w:rsidR="00C62321">
              <w:rPr>
                <w:webHidden/>
              </w:rPr>
            </w:r>
            <w:r w:rsidR="00C62321">
              <w:rPr>
                <w:webHidden/>
              </w:rPr>
              <w:fldChar w:fldCharType="separate"/>
            </w:r>
            <w:r>
              <w:rPr>
                <w:webHidden/>
              </w:rPr>
              <w:t>21</w:t>
            </w:r>
            <w:r w:rsidR="00C62321">
              <w:rPr>
                <w:webHidden/>
              </w:rPr>
              <w:fldChar w:fldCharType="end"/>
            </w:r>
          </w:hyperlink>
        </w:p>
        <w:p w14:paraId="41FD6130" w14:textId="6EE87003" w:rsidR="00C62321" w:rsidRDefault="002E5EBA" w:rsidP="00FB28B2">
          <w:pPr>
            <w:pStyle w:val="Saturs1"/>
            <w:rPr>
              <w:rFonts w:eastAsiaTheme="minorEastAsia"/>
              <w:sz w:val="24"/>
              <w:szCs w:val="24"/>
              <w:lang w:val="en-US"/>
            </w:rPr>
          </w:pPr>
          <w:hyperlink w:anchor="_Toc454366477" w:history="1">
            <w:r w:rsidR="00C62321" w:rsidRPr="00E12C22">
              <w:rPr>
                <w:rStyle w:val="Hipersaite"/>
              </w:rPr>
              <w:t>10</w:t>
            </w:r>
            <w:r w:rsidR="00C62321">
              <w:rPr>
                <w:rFonts w:eastAsiaTheme="minorEastAsia"/>
                <w:sz w:val="24"/>
                <w:szCs w:val="24"/>
                <w:lang w:val="en-US"/>
              </w:rPr>
              <w:tab/>
            </w:r>
            <w:r w:rsidR="00C62321" w:rsidRPr="00E12C22">
              <w:rPr>
                <w:rStyle w:val="Hipersaite"/>
              </w:rPr>
              <w:t>Detailed Findings for Indicators</w:t>
            </w:r>
            <w:r w:rsidR="00C62321">
              <w:rPr>
                <w:webHidden/>
              </w:rPr>
              <w:tab/>
            </w:r>
            <w:r w:rsidR="00C62321">
              <w:rPr>
                <w:webHidden/>
              </w:rPr>
              <w:fldChar w:fldCharType="begin"/>
            </w:r>
            <w:r w:rsidR="00C62321">
              <w:rPr>
                <w:webHidden/>
              </w:rPr>
              <w:instrText xml:space="preserve"> PAGEREF _Toc454366477 \h </w:instrText>
            </w:r>
            <w:r w:rsidR="00C62321">
              <w:rPr>
                <w:webHidden/>
              </w:rPr>
            </w:r>
            <w:r w:rsidR="00C62321">
              <w:rPr>
                <w:webHidden/>
              </w:rPr>
              <w:fldChar w:fldCharType="separate"/>
            </w:r>
            <w:r>
              <w:rPr>
                <w:webHidden/>
              </w:rPr>
              <w:t>22</w:t>
            </w:r>
            <w:r w:rsidR="00C62321">
              <w:rPr>
                <w:webHidden/>
              </w:rPr>
              <w:fldChar w:fldCharType="end"/>
            </w:r>
          </w:hyperlink>
        </w:p>
        <w:p w14:paraId="30863A31" w14:textId="2DCC7F87" w:rsidR="00C62321" w:rsidRDefault="002E5EBA" w:rsidP="00FB28B2">
          <w:pPr>
            <w:pStyle w:val="Saturs1"/>
            <w:rPr>
              <w:rFonts w:eastAsiaTheme="minorEastAsia"/>
              <w:sz w:val="24"/>
              <w:szCs w:val="24"/>
              <w:lang w:val="en-US"/>
            </w:rPr>
          </w:pPr>
          <w:hyperlink w:anchor="_Toc454366478" w:history="1">
            <w:r w:rsidR="00C62321" w:rsidRPr="00E12C22">
              <w:rPr>
                <w:rStyle w:val="Hipersaite"/>
              </w:rPr>
              <w:t>11</w:t>
            </w:r>
            <w:r w:rsidR="00C62321">
              <w:rPr>
                <w:rFonts w:eastAsiaTheme="minorEastAsia"/>
                <w:sz w:val="24"/>
                <w:szCs w:val="24"/>
                <w:lang w:val="en-US"/>
              </w:rPr>
              <w:tab/>
            </w:r>
            <w:r w:rsidR="00C62321" w:rsidRPr="00E12C22">
              <w:rPr>
                <w:rStyle w:val="Hipersaite"/>
              </w:rPr>
              <w:t>Review of Report</w:t>
            </w:r>
            <w:r w:rsidR="00C62321">
              <w:rPr>
                <w:webHidden/>
              </w:rPr>
              <w:tab/>
            </w:r>
            <w:r w:rsidR="00C62321">
              <w:rPr>
                <w:webHidden/>
              </w:rPr>
              <w:fldChar w:fldCharType="begin"/>
            </w:r>
            <w:r w:rsidR="00C62321">
              <w:rPr>
                <w:webHidden/>
              </w:rPr>
              <w:instrText xml:space="preserve"> PAGEREF _Toc454366478 \h </w:instrText>
            </w:r>
            <w:r w:rsidR="00C62321">
              <w:rPr>
                <w:webHidden/>
              </w:rPr>
            </w:r>
            <w:r w:rsidR="00C62321">
              <w:rPr>
                <w:webHidden/>
              </w:rPr>
              <w:fldChar w:fldCharType="separate"/>
            </w:r>
            <w:r>
              <w:rPr>
                <w:webHidden/>
              </w:rPr>
              <w:t>23</w:t>
            </w:r>
            <w:r w:rsidR="00C62321">
              <w:rPr>
                <w:webHidden/>
              </w:rPr>
              <w:fldChar w:fldCharType="end"/>
            </w:r>
          </w:hyperlink>
        </w:p>
        <w:p w14:paraId="287335C8" w14:textId="0E559819" w:rsidR="00C62321" w:rsidRDefault="002E5EBA">
          <w:pPr>
            <w:pStyle w:val="Saturs2"/>
            <w:rPr>
              <w:rFonts w:eastAsiaTheme="minorEastAsia"/>
              <w:sz w:val="24"/>
              <w:szCs w:val="24"/>
              <w:lang w:val="en-US"/>
            </w:rPr>
          </w:pPr>
          <w:hyperlink w:anchor="_Toc454366479" w:history="1">
            <w:r w:rsidR="00C62321" w:rsidRPr="00E12C22">
              <w:rPr>
                <w:rStyle w:val="Hipersaite"/>
              </w:rPr>
              <w:t>11.1</w:t>
            </w:r>
            <w:r w:rsidR="00C62321">
              <w:rPr>
                <w:rFonts w:eastAsiaTheme="minorEastAsia"/>
                <w:sz w:val="24"/>
                <w:szCs w:val="24"/>
                <w:lang w:val="en-US"/>
              </w:rPr>
              <w:tab/>
            </w:r>
            <w:r w:rsidR="00C62321" w:rsidRPr="00E12C22">
              <w:rPr>
                <w:rStyle w:val="Hipersaite"/>
              </w:rPr>
              <w:t>Peer review</w:t>
            </w:r>
            <w:r w:rsidR="00C62321">
              <w:rPr>
                <w:webHidden/>
              </w:rPr>
              <w:tab/>
            </w:r>
            <w:r w:rsidR="00C62321">
              <w:rPr>
                <w:webHidden/>
              </w:rPr>
              <w:fldChar w:fldCharType="begin"/>
            </w:r>
            <w:r w:rsidR="00C62321">
              <w:rPr>
                <w:webHidden/>
              </w:rPr>
              <w:instrText xml:space="preserve"> PAGEREF _Toc454366479 \h </w:instrText>
            </w:r>
            <w:r w:rsidR="00C62321">
              <w:rPr>
                <w:webHidden/>
              </w:rPr>
            </w:r>
            <w:r w:rsidR="00C62321">
              <w:rPr>
                <w:webHidden/>
              </w:rPr>
              <w:fldChar w:fldCharType="separate"/>
            </w:r>
            <w:r>
              <w:rPr>
                <w:webHidden/>
              </w:rPr>
              <w:t>23</w:t>
            </w:r>
            <w:r w:rsidR="00C62321">
              <w:rPr>
                <w:webHidden/>
              </w:rPr>
              <w:fldChar w:fldCharType="end"/>
            </w:r>
          </w:hyperlink>
        </w:p>
        <w:p w14:paraId="66E2F42C" w14:textId="3BC19E21" w:rsidR="00C62321" w:rsidRDefault="002E5EBA">
          <w:pPr>
            <w:pStyle w:val="Saturs2"/>
            <w:rPr>
              <w:rFonts w:eastAsiaTheme="minorEastAsia"/>
              <w:sz w:val="24"/>
              <w:szCs w:val="24"/>
              <w:lang w:val="en-US"/>
            </w:rPr>
          </w:pPr>
          <w:hyperlink w:anchor="_Toc454366480" w:history="1">
            <w:r w:rsidR="00C62321" w:rsidRPr="00E12C22">
              <w:rPr>
                <w:rStyle w:val="Hipersaite"/>
              </w:rPr>
              <w:t>11.2</w:t>
            </w:r>
            <w:r w:rsidR="00C62321">
              <w:rPr>
                <w:rFonts w:eastAsiaTheme="minorEastAsia"/>
                <w:sz w:val="24"/>
                <w:szCs w:val="24"/>
                <w:lang w:val="en-US"/>
              </w:rPr>
              <w:tab/>
            </w:r>
            <w:r w:rsidR="00C62321" w:rsidRPr="00E12C22">
              <w:rPr>
                <w:rStyle w:val="Hipersaite"/>
              </w:rPr>
              <w:t>Public or additional reviews</w:t>
            </w:r>
            <w:r w:rsidR="00C62321">
              <w:rPr>
                <w:webHidden/>
              </w:rPr>
              <w:tab/>
            </w:r>
            <w:r w:rsidR="00C62321">
              <w:rPr>
                <w:webHidden/>
              </w:rPr>
              <w:fldChar w:fldCharType="begin"/>
            </w:r>
            <w:r w:rsidR="00C62321">
              <w:rPr>
                <w:webHidden/>
              </w:rPr>
              <w:instrText xml:space="preserve"> PAGEREF _Toc454366480 \h </w:instrText>
            </w:r>
            <w:r w:rsidR="00C62321">
              <w:rPr>
                <w:webHidden/>
              </w:rPr>
            </w:r>
            <w:r w:rsidR="00C62321">
              <w:rPr>
                <w:webHidden/>
              </w:rPr>
              <w:fldChar w:fldCharType="separate"/>
            </w:r>
            <w:r>
              <w:rPr>
                <w:webHidden/>
              </w:rPr>
              <w:t>23</w:t>
            </w:r>
            <w:r w:rsidR="00C62321">
              <w:rPr>
                <w:webHidden/>
              </w:rPr>
              <w:fldChar w:fldCharType="end"/>
            </w:r>
          </w:hyperlink>
        </w:p>
        <w:p w14:paraId="2BBE36DE" w14:textId="53F1BDDE" w:rsidR="00C62321" w:rsidRDefault="002E5EBA" w:rsidP="00FB28B2">
          <w:pPr>
            <w:pStyle w:val="Saturs1"/>
            <w:rPr>
              <w:rFonts w:eastAsiaTheme="minorEastAsia"/>
              <w:sz w:val="24"/>
              <w:szCs w:val="24"/>
              <w:lang w:val="en-US"/>
            </w:rPr>
          </w:pPr>
          <w:hyperlink w:anchor="_Toc454366481" w:history="1">
            <w:r w:rsidR="00C62321" w:rsidRPr="00E12C22">
              <w:rPr>
                <w:rStyle w:val="Hipersaite"/>
              </w:rPr>
              <w:t>12</w:t>
            </w:r>
            <w:r w:rsidR="00C62321">
              <w:rPr>
                <w:rFonts w:eastAsiaTheme="minorEastAsia"/>
                <w:sz w:val="24"/>
                <w:szCs w:val="24"/>
                <w:lang w:val="en-US"/>
              </w:rPr>
              <w:tab/>
            </w:r>
            <w:r w:rsidR="00C62321" w:rsidRPr="00E12C22">
              <w:rPr>
                <w:rStyle w:val="Hipersaite"/>
              </w:rPr>
              <w:t>Approval of Report</w:t>
            </w:r>
            <w:r w:rsidR="00C62321">
              <w:rPr>
                <w:webHidden/>
              </w:rPr>
              <w:tab/>
            </w:r>
            <w:r w:rsidR="00C62321">
              <w:rPr>
                <w:webHidden/>
              </w:rPr>
              <w:fldChar w:fldCharType="begin"/>
            </w:r>
            <w:r w:rsidR="00C62321">
              <w:rPr>
                <w:webHidden/>
              </w:rPr>
              <w:instrText xml:space="preserve"> PAGEREF _Toc454366481 \h </w:instrText>
            </w:r>
            <w:r w:rsidR="00C62321">
              <w:rPr>
                <w:webHidden/>
              </w:rPr>
            </w:r>
            <w:r w:rsidR="00C62321">
              <w:rPr>
                <w:webHidden/>
              </w:rPr>
              <w:fldChar w:fldCharType="separate"/>
            </w:r>
            <w:r>
              <w:rPr>
                <w:webHidden/>
              </w:rPr>
              <w:t>24</w:t>
            </w:r>
            <w:r w:rsidR="00C62321">
              <w:rPr>
                <w:webHidden/>
              </w:rPr>
              <w:fldChar w:fldCharType="end"/>
            </w:r>
          </w:hyperlink>
        </w:p>
        <w:p w14:paraId="3B4BB84B" w14:textId="388DEDDE" w:rsidR="00C62321" w:rsidRDefault="002E5EBA" w:rsidP="00FB28B2">
          <w:pPr>
            <w:pStyle w:val="Saturs1"/>
            <w:rPr>
              <w:rFonts w:eastAsiaTheme="minorEastAsia"/>
              <w:sz w:val="24"/>
              <w:szCs w:val="24"/>
              <w:lang w:val="en-US"/>
            </w:rPr>
          </w:pPr>
          <w:hyperlink w:anchor="_Toc454366482" w:history="1">
            <w:r w:rsidR="00C62321" w:rsidRPr="00E12C22">
              <w:rPr>
                <w:rStyle w:val="Hipersaite"/>
              </w:rPr>
              <w:t>13</w:t>
            </w:r>
            <w:r w:rsidR="00C62321">
              <w:rPr>
                <w:rFonts w:eastAsiaTheme="minorEastAsia"/>
                <w:sz w:val="24"/>
                <w:szCs w:val="24"/>
                <w:lang w:val="en-US"/>
              </w:rPr>
              <w:tab/>
            </w:r>
            <w:r w:rsidR="00C62321" w:rsidRPr="00E12C22">
              <w:rPr>
                <w:rStyle w:val="Hipersaite"/>
              </w:rPr>
              <w:t>Updates</w:t>
            </w:r>
            <w:r w:rsidR="00C62321">
              <w:rPr>
                <w:webHidden/>
              </w:rPr>
              <w:tab/>
            </w:r>
            <w:r w:rsidR="00C62321">
              <w:rPr>
                <w:webHidden/>
              </w:rPr>
              <w:fldChar w:fldCharType="begin"/>
            </w:r>
            <w:r w:rsidR="00C62321">
              <w:rPr>
                <w:webHidden/>
              </w:rPr>
              <w:instrText xml:space="preserve"> PAGEREF _Toc454366482 \h </w:instrText>
            </w:r>
            <w:r w:rsidR="00C62321">
              <w:rPr>
                <w:webHidden/>
              </w:rPr>
            </w:r>
            <w:r w:rsidR="00C62321">
              <w:rPr>
                <w:webHidden/>
              </w:rPr>
              <w:fldChar w:fldCharType="separate"/>
            </w:r>
            <w:r>
              <w:rPr>
                <w:webHidden/>
              </w:rPr>
              <w:t>25</w:t>
            </w:r>
            <w:r w:rsidR="00C62321">
              <w:rPr>
                <w:webHidden/>
              </w:rPr>
              <w:fldChar w:fldCharType="end"/>
            </w:r>
          </w:hyperlink>
        </w:p>
        <w:p w14:paraId="62E9E053" w14:textId="52E268EE" w:rsidR="00C62321" w:rsidRDefault="002E5EBA">
          <w:pPr>
            <w:pStyle w:val="Saturs2"/>
            <w:rPr>
              <w:rFonts w:eastAsiaTheme="minorEastAsia"/>
              <w:sz w:val="24"/>
              <w:szCs w:val="24"/>
              <w:lang w:val="en-US"/>
            </w:rPr>
          </w:pPr>
          <w:hyperlink w:anchor="_Toc454366483" w:history="1">
            <w:r w:rsidR="00C62321" w:rsidRPr="00E12C22">
              <w:rPr>
                <w:rStyle w:val="Hipersaite"/>
              </w:rPr>
              <w:t>13.1</w:t>
            </w:r>
            <w:r w:rsidR="00C62321">
              <w:rPr>
                <w:rFonts w:eastAsiaTheme="minorEastAsia"/>
                <w:sz w:val="24"/>
                <w:szCs w:val="24"/>
                <w:lang w:val="en-US"/>
              </w:rPr>
              <w:tab/>
            </w:r>
            <w:r w:rsidR="00C62321" w:rsidRPr="00E12C22">
              <w:rPr>
                <w:rStyle w:val="Hipersaite"/>
              </w:rPr>
              <w:t>Significant changes in the Supply Base</w:t>
            </w:r>
            <w:r w:rsidR="00C62321">
              <w:rPr>
                <w:webHidden/>
              </w:rPr>
              <w:tab/>
            </w:r>
            <w:r w:rsidR="00C62321">
              <w:rPr>
                <w:webHidden/>
              </w:rPr>
              <w:fldChar w:fldCharType="begin"/>
            </w:r>
            <w:r w:rsidR="00C62321">
              <w:rPr>
                <w:webHidden/>
              </w:rPr>
              <w:instrText xml:space="preserve"> PAGEREF _Toc454366483 \h </w:instrText>
            </w:r>
            <w:r w:rsidR="00C62321">
              <w:rPr>
                <w:webHidden/>
              </w:rPr>
            </w:r>
            <w:r w:rsidR="00C62321">
              <w:rPr>
                <w:webHidden/>
              </w:rPr>
              <w:fldChar w:fldCharType="separate"/>
            </w:r>
            <w:r>
              <w:rPr>
                <w:webHidden/>
              </w:rPr>
              <w:t>25</w:t>
            </w:r>
            <w:r w:rsidR="00C62321">
              <w:rPr>
                <w:webHidden/>
              </w:rPr>
              <w:fldChar w:fldCharType="end"/>
            </w:r>
          </w:hyperlink>
        </w:p>
        <w:p w14:paraId="414FAA24" w14:textId="036E658B" w:rsidR="00C62321" w:rsidRDefault="002E5EBA">
          <w:pPr>
            <w:pStyle w:val="Saturs2"/>
            <w:rPr>
              <w:rFonts w:eastAsiaTheme="minorEastAsia"/>
              <w:sz w:val="24"/>
              <w:szCs w:val="24"/>
              <w:lang w:val="en-US"/>
            </w:rPr>
          </w:pPr>
          <w:hyperlink w:anchor="_Toc454366484" w:history="1">
            <w:r w:rsidR="00C62321" w:rsidRPr="00E12C22">
              <w:rPr>
                <w:rStyle w:val="Hipersaite"/>
              </w:rPr>
              <w:t>13.2</w:t>
            </w:r>
            <w:r w:rsidR="00C62321">
              <w:rPr>
                <w:rFonts w:eastAsiaTheme="minorEastAsia"/>
                <w:sz w:val="24"/>
                <w:szCs w:val="24"/>
                <w:lang w:val="en-US"/>
              </w:rPr>
              <w:tab/>
            </w:r>
            <w:r w:rsidR="00C62321" w:rsidRPr="00E12C22">
              <w:rPr>
                <w:rStyle w:val="Hipersaite"/>
              </w:rPr>
              <w:t>Effectiveness of previous mitigation measures</w:t>
            </w:r>
            <w:r w:rsidR="00C62321">
              <w:rPr>
                <w:webHidden/>
              </w:rPr>
              <w:tab/>
            </w:r>
            <w:r w:rsidR="00C62321">
              <w:rPr>
                <w:webHidden/>
              </w:rPr>
              <w:fldChar w:fldCharType="begin"/>
            </w:r>
            <w:r w:rsidR="00C62321">
              <w:rPr>
                <w:webHidden/>
              </w:rPr>
              <w:instrText xml:space="preserve"> PAGEREF _Toc454366484 \h </w:instrText>
            </w:r>
            <w:r w:rsidR="00C62321">
              <w:rPr>
                <w:webHidden/>
              </w:rPr>
            </w:r>
            <w:r w:rsidR="00C62321">
              <w:rPr>
                <w:webHidden/>
              </w:rPr>
              <w:fldChar w:fldCharType="separate"/>
            </w:r>
            <w:r>
              <w:rPr>
                <w:webHidden/>
              </w:rPr>
              <w:t>25</w:t>
            </w:r>
            <w:r w:rsidR="00C62321">
              <w:rPr>
                <w:webHidden/>
              </w:rPr>
              <w:fldChar w:fldCharType="end"/>
            </w:r>
          </w:hyperlink>
        </w:p>
        <w:p w14:paraId="283F06B0" w14:textId="7D5DBD7D" w:rsidR="00C62321" w:rsidRDefault="002E5EBA">
          <w:pPr>
            <w:pStyle w:val="Saturs2"/>
            <w:rPr>
              <w:rFonts w:eastAsiaTheme="minorEastAsia"/>
              <w:sz w:val="24"/>
              <w:szCs w:val="24"/>
              <w:lang w:val="en-US"/>
            </w:rPr>
          </w:pPr>
          <w:hyperlink w:anchor="_Toc454366485" w:history="1">
            <w:r w:rsidR="00C62321" w:rsidRPr="00E12C22">
              <w:rPr>
                <w:rStyle w:val="Hipersaite"/>
              </w:rPr>
              <w:t>13.3</w:t>
            </w:r>
            <w:r w:rsidR="00C62321">
              <w:rPr>
                <w:rFonts w:eastAsiaTheme="minorEastAsia"/>
                <w:sz w:val="24"/>
                <w:szCs w:val="24"/>
                <w:lang w:val="en-US"/>
              </w:rPr>
              <w:tab/>
            </w:r>
            <w:r w:rsidR="00C62321" w:rsidRPr="00E12C22">
              <w:rPr>
                <w:rStyle w:val="Hipersaite"/>
              </w:rPr>
              <w:t>New risk ratings and mitigation measures</w:t>
            </w:r>
            <w:r w:rsidR="00C62321">
              <w:rPr>
                <w:webHidden/>
              </w:rPr>
              <w:tab/>
            </w:r>
            <w:r w:rsidR="00C62321">
              <w:rPr>
                <w:webHidden/>
              </w:rPr>
              <w:fldChar w:fldCharType="begin"/>
            </w:r>
            <w:r w:rsidR="00C62321">
              <w:rPr>
                <w:webHidden/>
              </w:rPr>
              <w:instrText xml:space="preserve"> PAGEREF _Toc454366485 \h </w:instrText>
            </w:r>
            <w:r w:rsidR="00C62321">
              <w:rPr>
                <w:webHidden/>
              </w:rPr>
            </w:r>
            <w:r w:rsidR="00C62321">
              <w:rPr>
                <w:webHidden/>
              </w:rPr>
              <w:fldChar w:fldCharType="separate"/>
            </w:r>
            <w:r>
              <w:rPr>
                <w:webHidden/>
              </w:rPr>
              <w:t>25</w:t>
            </w:r>
            <w:r w:rsidR="00C62321">
              <w:rPr>
                <w:webHidden/>
              </w:rPr>
              <w:fldChar w:fldCharType="end"/>
            </w:r>
          </w:hyperlink>
        </w:p>
        <w:p w14:paraId="14F05F16" w14:textId="504DBB44" w:rsidR="00C62321" w:rsidRDefault="002E5EBA">
          <w:pPr>
            <w:pStyle w:val="Saturs2"/>
            <w:rPr>
              <w:rFonts w:eastAsiaTheme="minorEastAsia"/>
              <w:sz w:val="24"/>
              <w:szCs w:val="24"/>
              <w:lang w:val="en-US"/>
            </w:rPr>
          </w:pPr>
          <w:hyperlink w:anchor="_Toc454366486" w:history="1">
            <w:r w:rsidR="00C62321" w:rsidRPr="00E12C22">
              <w:rPr>
                <w:rStyle w:val="Hipersaite"/>
              </w:rPr>
              <w:t>13.4</w:t>
            </w:r>
            <w:r w:rsidR="00C62321">
              <w:rPr>
                <w:rFonts w:eastAsiaTheme="minorEastAsia"/>
                <w:sz w:val="24"/>
                <w:szCs w:val="24"/>
                <w:lang w:val="en-US"/>
              </w:rPr>
              <w:tab/>
            </w:r>
            <w:r w:rsidR="00C62321" w:rsidRPr="00E12C22">
              <w:rPr>
                <w:rStyle w:val="Hipersaite"/>
              </w:rPr>
              <w:t>Actual figures for feedstock over the previous 12 months</w:t>
            </w:r>
            <w:r w:rsidR="00C62321">
              <w:rPr>
                <w:webHidden/>
              </w:rPr>
              <w:tab/>
            </w:r>
            <w:r w:rsidR="00C62321">
              <w:rPr>
                <w:webHidden/>
              </w:rPr>
              <w:fldChar w:fldCharType="begin"/>
            </w:r>
            <w:r w:rsidR="00C62321">
              <w:rPr>
                <w:webHidden/>
              </w:rPr>
              <w:instrText xml:space="preserve"> PAGEREF _Toc454366486 \h </w:instrText>
            </w:r>
            <w:r w:rsidR="00C62321">
              <w:rPr>
                <w:webHidden/>
              </w:rPr>
            </w:r>
            <w:r w:rsidR="00C62321">
              <w:rPr>
                <w:webHidden/>
              </w:rPr>
              <w:fldChar w:fldCharType="separate"/>
            </w:r>
            <w:r>
              <w:rPr>
                <w:webHidden/>
              </w:rPr>
              <w:t>25</w:t>
            </w:r>
            <w:r w:rsidR="00C62321">
              <w:rPr>
                <w:webHidden/>
              </w:rPr>
              <w:fldChar w:fldCharType="end"/>
            </w:r>
          </w:hyperlink>
        </w:p>
        <w:p w14:paraId="647C9DF7" w14:textId="543B2DD9" w:rsidR="00C62321" w:rsidRDefault="002E5EBA">
          <w:pPr>
            <w:pStyle w:val="Saturs2"/>
            <w:rPr>
              <w:rFonts w:eastAsiaTheme="minorEastAsia"/>
              <w:sz w:val="24"/>
              <w:szCs w:val="24"/>
              <w:lang w:val="en-US"/>
            </w:rPr>
          </w:pPr>
          <w:hyperlink w:anchor="_Toc454366487" w:history="1">
            <w:r w:rsidR="00C62321" w:rsidRPr="00E12C22">
              <w:rPr>
                <w:rStyle w:val="Hipersaite"/>
              </w:rPr>
              <w:t>13.5</w:t>
            </w:r>
            <w:r w:rsidR="00C62321">
              <w:rPr>
                <w:rFonts w:eastAsiaTheme="minorEastAsia"/>
                <w:sz w:val="24"/>
                <w:szCs w:val="24"/>
                <w:lang w:val="en-US"/>
              </w:rPr>
              <w:tab/>
            </w:r>
            <w:r w:rsidR="00C62321" w:rsidRPr="00E12C22">
              <w:rPr>
                <w:rStyle w:val="Hipersaite"/>
              </w:rPr>
              <w:t>Projected figures for feedstock over the next 12 months</w:t>
            </w:r>
            <w:r w:rsidR="00C62321">
              <w:rPr>
                <w:webHidden/>
              </w:rPr>
              <w:tab/>
            </w:r>
            <w:r w:rsidR="00C62321">
              <w:rPr>
                <w:webHidden/>
              </w:rPr>
              <w:fldChar w:fldCharType="begin"/>
            </w:r>
            <w:r w:rsidR="00C62321">
              <w:rPr>
                <w:webHidden/>
              </w:rPr>
              <w:instrText xml:space="preserve"> PAGEREF _Toc454366487 \h </w:instrText>
            </w:r>
            <w:r w:rsidR="00C62321">
              <w:rPr>
                <w:webHidden/>
              </w:rPr>
            </w:r>
            <w:r w:rsidR="00C62321">
              <w:rPr>
                <w:webHidden/>
              </w:rPr>
              <w:fldChar w:fldCharType="separate"/>
            </w:r>
            <w:r>
              <w:rPr>
                <w:webHidden/>
              </w:rPr>
              <w:t>25</w:t>
            </w:r>
            <w:r w:rsidR="00C62321">
              <w:rPr>
                <w:webHidden/>
              </w:rPr>
              <w:fldChar w:fldCharType="end"/>
            </w:r>
          </w:hyperlink>
        </w:p>
        <w:p w14:paraId="545E3094" w14:textId="77777777" w:rsidR="005D488C" w:rsidRDefault="005D488C">
          <w:r>
            <w:rPr>
              <w:b/>
              <w:bCs/>
              <w:noProof/>
            </w:rPr>
            <w:fldChar w:fldCharType="end"/>
          </w:r>
        </w:p>
      </w:sdtContent>
    </w:sdt>
    <w:p w14:paraId="3C7A79DA" w14:textId="77777777" w:rsidR="00B94D3B" w:rsidRDefault="00B94D3B" w:rsidP="004309B9"/>
    <w:p w14:paraId="6A684FC6" w14:textId="1AD5DB50" w:rsidR="00694330" w:rsidRDefault="00694330" w:rsidP="00694330">
      <w:pPr>
        <w:sectPr w:rsidR="00694330" w:rsidSect="0060397E">
          <w:headerReference w:type="default" r:id="rId10"/>
          <w:footerReference w:type="default" r:id="rId11"/>
          <w:headerReference w:type="first" r:id="rId12"/>
          <w:footerReference w:type="first" r:id="rId13"/>
          <w:pgSz w:w="11906" w:h="16838"/>
          <w:pgMar w:top="2386" w:right="1134" w:bottom="1134" w:left="1134" w:header="1134" w:footer="680" w:gutter="0"/>
          <w:pgNumType w:fmt="lowerRoman"/>
          <w:cols w:space="708"/>
          <w:titlePg/>
          <w:docGrid w:linePitch="360"/>
        </w:sectPr>
      </w:pPr>
    </w:p>
    <w:p w14:paraId="31306F73" w14:textId="3DD68991" w:rsidR="00694330" w:rsidRDefault="00694330" w:rsidP="00694330"/>
    <w:p w14:paraId="5ABBE4CD" w14:textId="74F8F48A" w:rsidR="00DD6D07" w:rsidRDefault="00DD6D07" w:rsidP="00694330">
      <w:pPr>
        <w:pStyle w:val="Virsraksts1"/>
        <w:pageBreakBefore w:val="0"/>
      </w:pPr>
      <w:bookmarkStart w:id="0" w:name="_Toc454366452"/>
      <w:r>
        <w:t>Overview</w:t>
      </w:r>
      <w:bookmarkEnd w:id="0"/>
    </w:p>
    <w:p w14:paraId="1C15AEA4" w14:textId="77777777" w:rsidR="00E702AA" w:rsidRDefault="00E702AA" w:rsidP="00DD6D07"/>
    <w:p w14:paraId="63642B9A" w14:textId="3CE0EDF5" w:rsidR="00DD6D07" w:rsidRDefault="00DD6D07" w:rsidP="00DD6D07">
      <w:r>
        <w:t xml:space="preserve">Producer name: </w:t>
      </w:r>
      <w:r>
        <w:tab/>
      </w:r>
      <w:proofErr w:type="gramStart"/>
      <w:r w:rsidR="00D37685">
        <w:t>SIA  “</w:t>
      </w:r>
      <w:proofErr w:type="gramEnd"/>
      <w:r w:rsidR="00D37685">
        <w:t xml:space="preserve">PATA”  </w:t>
      </w:r>
    </w:p>
    <w:p w14:paraId="14E98EBC" w14:textId="515DB2ED" w:rsidR="00DD6D07" w:rsidRDefault="00DD6D07" w:rsidP="00DD6D07">
      <w:r>
        <w:t>Producer location:</w:t>
      </w:r>
      <w:r>
        <w:tab/>
      </w:r>
      <w:proofErr w:type="spellStart"/>
      <w:proofErr w:type="gramStart"/>
      <w:r w:rsidR="00D37685">
        <w:t>Cesu</w:t>
      </w:r>
      <w:proofErr w:type="spellEnd"/>
      <w:r w:rsidR="00D37685">
        <w:t xml:space="preserve">  </w:t>
      </w:r>
      <w:proofErr w:type="spellStart"/>
      <w:r w:rsidR="00D37685">
        <w:t>iela</w:t>
      </w:r>
      <w:proofErr w:type="spellEnd"/>
      <w:proofErr w:type="gramEnd"/>
      <w:r w:rsidR="00D37685">
        <w:t xml:space="preserve">  14,  Riga,  LV-­1012,  Latvia  </w:t>
      </w:r>
    </w:p>
    <w:p w14:paraId="5F158954" w14:textId="61EB22D2" w:rsidR="00DD6D07" w:rsidRDefault="00DD6D07" w:rsidP="00DD6D07">
      <w:r>
        <w:t>Geographic position:</w:t>
      </w:r>
      <w:r>
        <w:tab/>
      </w:r>
      <w:proofErr w:type="gramStart"/>
      <w:r w:rsidR="00D37685">
        <w:t>Lat  N</w:t>
      </w:r>
      <w:proofErr w:type="gramEnd"/>
      <w:r w:rsidR="00D37685">
        <w:t xml:space="preserve">  56  degrees  57  minutes,  Long  E  24  degrees  8  minutes</w:t>
      </w:r>
    </w:p>
    <w:p w14:paraId="58423CD9" w14:textId="1D36079F" w:rsidR="00DD6D07" w:rsidRDefault="00DD6D07" w:rsidP="00DD6D07">
      <w:r>
        <w:t>Primary contact:</w:t>
      </w:r>
      <w:r>
        <w:tab/>
      </w:r>
      <w:r w:rsidR="00D37685">
        <w:t xml:space="preserve">Vita </w:t>
      </w:r>
      <w:proofErr w:type="gramStart"/>
      <w:r w:rsidR="00D37685">
        <w:t xml:space="preserve">Rudzīte,  </w:t>
      </w:r>
      <w:r w:rsidR="00D37685" w:rsidRPr="00BB26CB">
        <w:rPr>
          <w:u w:val="single"/>
        </w:rPr>
        <w:t>vita.rudzite@pata.lv</w:t>
      </w:r>
      <w:proofErr w:type="gramEnd"/>
      <w:r w:rsidR="00D37685">
        <w:t xml:space="preserve">,  +  371  29157044    </w:t>
      </w:r>
    </w:p>
    <w:p w14:paraId="002528CD" w14:textId="26B8420D" w:rsidR="00DD6D07" w:rsidRDefault="00DD6D07" w:rsidP="00DD6D07">
      <w:r>
        <w:t>Company website:</w:t>
      </w:r>
      <w:r>
        <w:tab/>
      </w:r>
      <w:r w:rsidR="00D37685">
        <w:rPr>
          <w:color w:val="0B6E3E"/>
          <w:u w:val="single" w:color="0A6E3E"/>
        </w:rPr>
        <w:t>www.pata.lv</w:t>
      </w:r>
      <w:r w:rsidR="00D37685">
        <w:t xml:space="preserve">    </w:t>
      </w:r>
    </w:p>
    <w:p w14:paraId="2C9AFD64" w14:textId="423B1565" w:rsidR="00DD6D07" w:rsidRDefault="00DD6D07" w:rsidP="00DD6D07">
      <w:r>
        <w:t>Date report finalised:</w:t>
      </w:r>
      <w:r>
        <w:tab/>
      </w:r>
      <w:r w:rsidR="00D12356" w:rsidRPr="00D12356">
        <w:t>04</w:t>
      </w:r>
      <w:r w:rsidRPr="00D12356">
        <w:t>/</w:t>
      </w:r>
      <w:r w:rsidR="00D12356" w:rsidRPr="00D12356">
        <w:t>03</w:t>
      </w:r>
      <w:r w:rsidRPr="00D12356">
        <w:t>/</w:t>
      </w:r>
      <w:r w:rsidR="00D12356" w:rsidRPr="00D12356">
        <w:t>2020</w:t>
      </w:r>
    </w:p>
    <w:p w14:paraId="50F7B2A8" w14:textId="7D108E8D" w:rsidR="00DD6D07" w:rsidRDefault="00DD6D07" w:rsidP="00DD6D07">
      <w:r>
        <w:t>Close of last CB audit:</w:t>
      </w:r>
      <w:r>
        <w:tab/>
      </w:r>
      <w:r w:rsidR="00A803DE">
        <w:t>22.08.2018. Riga</w:t>
      </w:r>
      <w:r w:rsidR="00E702AA">
        <w:t>, 27.11.2018. Emeryville</w:t>
      </w:r>
    </w:p>
    <w:p w14:paraId="498DAA47" w14:textId="1FD4BC42" w:rsidR="00DD6D07" w:rsidRDefault="00DD6D07" w:rsidP="00DD6D07">
      <w:r>
        <w:t>Name of CB:</w:t>
      </w:r>
      <w:r>
        <w:tab/>
      </w:r>
      <w:r>
        <w:tab/>
      </w:r>
      <w:r w:rsidR="00A803DE">
        <w:t>SCS Global Services</w:t>
      </w:r>
    </w:p>
    <w:p w14:paraId="5ACA3810" w14:textId="58DD87DB" w:rsidR="00DD6D07" w:rsidRDefault="00DD6D07" w:rsidP="00DD6D07">
      <w:r>
        <w:t>Translations from English:</w:t>
      </w:r>
      <w:r>
        <w:tab/>
        <w:t>Yes</w:t>
      </w:r>
      <w:r w:rsidR="00A803DE">
        <w:t>- Latvian</w:t>
      </w:r>
    </w:p>
    <w:p w14:paraId="1AD5A897" w14:textId="164A1427" w:rsidR="00DD6D07" w:rsidRDefault="00DD6D07" w:rsidP="00A803DE">
      <w:pPr>
        <w:tabs>
          <w:tab w:val="center" w:pos="3557"/>
        </w:tabs>
        <w:ind w:left="-15"/>
      </w:pPr>
      <w:r>
        <w:t>SBP Standard(s) used:</w:t>
      </w:r>
      <w:r w:rsidR="00A803DE">
        <w:t xml:space="preserve">   </w:t>
      </w:r>
      <w:r w:rsidR="00493940">
        <w:tab/>
      </w:r>
      <w:r w:rsidR="00A803DE">
        <w:t xml:space="preserve">Standard 1v1.0, </w:t>
      </w:r>
      <w:proofErr w:type="gramStart"/>
      <w:r w:rsidR="00A803DE">
        <w:t>Standard  2v1.0</w:t>
      </w:r>
      <w:proofErr w:type="gramEnd"/>
      <w:r w:rsidR="00A803DE">
        <w:t xml:space="preserve">, Standard  4v1.0, Standard  5  v1.0    </w:t>
      </w:r>
    </w:p>
    <w:p w14:paraId="11B1561E" w14:textId="632E3FBB" w:rsidR="00DD6D07" w:rsidRDefault="00DD6D07" w:rsidP="00DD6D07">
      <w:r>
        <w:t>Weblink to Standard(s) used:</w:t>
      </w:r>
      <w:r>
        <w:tab/>
      </w:r>
      <w:hyperlink r:id="rId14" w:history="1">
        <w:r w:rsidR="00BB4A74">
          <w:rPr>
            <w:rStyle w:val="Hipersaite"/>
          </w:rPr>
          <w:t>https://sbp-cert.org/documents/standards-documents/standards/</w:t>
        </w:r>
      </w:hyperlink>
      <w:r w:rsidR="00493940">
        <w:rPr>
          <w:rStyle w:val="Hipersaite"/>
        </w:rPr>
        <w:t xml:space="preserve"> </w:t>
      </w:r>
      <w:r>
        <w:t xml:space="preserve"> </w:t>
      </w:r>
    </w:p>
    <w:p w14:paraId="5B416549" w14:textId="444CD7BE" w:rsidR="00DD6D07" w:rsidRDefault="00DD6D07" w:rsidP="00DD6D07">
      <w:r>
        <w:t xml:space="preserve">SBP Endorsed Regional Risk Assessment: </w:t>
      </w:r>
      <w:r>
        <w:tab/>
      </w:r>
      <w:hyperlink r:id="rId15" w:history="1">
        <w:r w:rsidR="00A803DE">
          <w:rPr>
            <w:rStyle w:val="Hipersaite"/>
          </w:rPr>
          <w:t>https://sbp-cert.org/documents/standards-documents/risk-assessments/</w:t>
        </w:r>
      </w:hyperlink>
      <w:r w:rsidR="00A803DE">
        <w:t xml:space="preserve"> </w:t>
      </w:r>
    </w:p>
    <w:p w14:paraId="4317706E" w14:textId="05AAD9AE" w:rsidR="00DD6D07" w:rsidRDefault="00DD6D07" w:rsidP="00DD6D07">
      <w:r>
        <w:t xml:space="preserve">Weblink to SBE on Company website: </w:t>
      </w:r>
      <w:r>
        <w:tab/>
      </w:r>
      <w:r w:rsidR="00493940">
        <w:tab/>
      </w:r>
      <w:hyperlink r:id="rId16" w:history="1">
        <w:r w:rsidR="00A803DE">
          <w:rPr>
            <w:rStyle w:val="Hipersaite"/>
          </w:rPr>
          <w:t>http://pata.lv/eu/lv/sectionpost/aktualitates/</w:t>
        </w:r>
      </w:hyperlink>
    </w:p>
    <w:p w14:paraId="066D9FBD" w14:textId="77777777" w:rsidR="00A803DE" w:rsidRDefault="00A803DE" w:rsidP="00DD6D07"/>
    <w:tbl>
      <w:tblPr>
        <w:tblStyle w:val="Reatabula"/>
        <w:tblW w:w="0" w:type="auto"/>
        <w:tblLook w:val="04A0" w:firstRow="1" w:lastRow="0" w:firstColumn="1" w:lastColumn="0" w:noHBand="0" w:noVBand="1"/>
      </w:tblPr>
      <w:tblGrid>
        <w:gridCol w:w="1861"/>
        <w:gridCol w:w="1872"/>
        <w:gridCol w:w="1872"/>
        <w:gridCol w:w="1872"/>
        <w:gridCol w:w="1873"/>
      </w:tblGrid>
      <w:tr w:rsidR="00DD6D07" w:rsidRPr="00ED692D" w14:paraId="5BFE0A55" w14:textId="77777777" w:rsidTr="00E702AA">
        <w:trPr>
          <w:trHeight w:val="647"/>
        </w:trPr>
        <w:tc>
          <w:tcPr>
            <w:tcW w:w="9350" w:type="dxa"/>
            <w:gridSpan w:val="5"/>
            <w:shd w:val="clear" w:color="auto" w:fill="315644" w:themeFill="accent3" w:themeFillShade="80"/>
            <w:vAlign w:val="center"/>
          </w:tcPr>
          <w:p w14:paraId="75410F8A" w14:textId="77777777" w:rsidR="00DD6D07" w:rsidRPr="00477B62" w:rsidRDefault="00DD6D07" w:rsidP="00E702AA">
            <w:pPr>
              <w:spacing w:before="120" w:line="240" w:lineRule="auto"/>
              <w:jc w:val="center"/>
              <w:rPr>
                <w:b/>
                <w:color w:val="FFFFFF" w:themeColor="background1"/>
                <w:lang w:val="en-US"/>
              </w:rPr>
            </w:pPr>
            <w:r>
              <w:rPr>
                <w:b/>
                <w:color w:val="FFFFFF" w:themeColor="background1"/>
                <w:lang w:val="en-US"/>
              </w:rPr>
              <w:t>Indicate how the current evaluation fits within the c</w:t>
            </w:r>
            <w:r w:rsidRPr="00477B62">
              <w:rPr>
                <w:b/>
                <w:color w:val="FFFFFF" w:themeColor="background1"/>
                <w:lang w:val="en-US"/>
              </w:rPr>
              <w:t>ycle of Supply Base Evaluations</w:t>
            </w:r>
          </w:p>
        </w:tc>
      </w:tr>
      <w:tr w:rsidR="00DD6D07" w:rsidRPr="00ED692D" w14:paraId="0F149C62" w14:textId="77777777" w:rsidTr="00E702AA">
        <w:trPr>
          <w:trHeight w:val="620"/>
        </w:trPr>
        <w:tc>
          <w:tcPr>
            <w:tcW w:w="1861" w:type="dxa"/>
            <w:shd w:val="clear" w:color="auto" w:fill="A3CAB8" w:themeFill="accent3" w:themeFillTint="99"/>
            <w:vAlign w:val="center"/>
          </w:tcPr>
          <w:p w14:paraId="3BDF399E" w14:textId="77777777" w:rsidR="00DD6D07" w:rsidRPr="00ED692D" w:rsidRDefault="00DD6D07" w:rsidP="00E702AA">
            <w:pPr>
              <w:spacing w:before="120" w:line="240" w:lineRule="auto"/>
              <w:jc w:val="center"/>
              <w:rPr>
                <w:b/>
                <w:lang w:val="en-US"/>
              </w:rPr>
            </w:pPr>
            <w:r w:rsidRPr="00ED692D">
              <w:rPr>
                <w:b/>
                <w:lang w:val="en-US"/>
              </w:rPr>
              <w:t>Main (Initial)</w:t>
            </w:r>
          </w:p>
          <w:p w14:paraId="7DB23AF6" w14:textId="77777777" w:rsidR="00DD6D07" w:rsidRPr="00ED692D" w:rsidRDefault="00DD6D07" w:rsidP="00E702AA">
            <w:pPr>
              <w:spacing w:after="120" w:line="240" w:lineRule="auto"/>
              <w:jc w:val="center"/>
              <w:rPr>
                <w:b/>
                <w:lang w:val="en-US"/>
              </w:rPr>
            </w:pPr>
            <w:r w:rsidRPr="00ED692D">
              <w:rPr>
                <w:b/>
                <w:lang w:val="en-US"/>
              </w:rPr>
              <w:t>Evaluation</w:t>
            </w:r>
          </w:p>
        </w:tc>
        <w:tc>
          <w:tcPr>
            <w:tcW w:w="1872" w:type="dxa"/>
            <w:shd w:val="clear" w:color="auto" w:fill="A3CAB8" w:themeFill="accent3" w:themeFillTint="99"/>
            <w:vAlign w:val="center"/>
          </w:tcPr>
          <w:p w14:paraId="398CE408" w14:textId="77777777" w:rsidR="00DD6D07" w:rsidRPr="00ED692D" w:rsidRDefault="00DD6D07" w:rsidP="00E702AA">
            <w:pPr>
              <w:spacing w:before="120" w:line="240" w:lineRule="auto"/>
              <w:jc w:val="center"/>
              <w:rPr>
                <w:b/>
                <w:lang w:val="en-US"/>
              </w:rPr>
            </w:pPr>
            <w:r w:rsidRPr="00ED692D">
              <w:rPr>
                <w:b/>
                <w:lang w:val="en-US"/>
              </w:rPr>
              <w:t>First</w:t>
            </w:r>
          </w:p>
          <w:p w14:paraId="6D14D9B3" w14:textId="77777777" w:rsidR="00DD6D07" w:rsidRPr="00ED692D" w:rsidRDefault="00DD6D07" w:rsidP="00E702AA">
            <w:pPr>
              <w:spacing w:after="120" w:line="240" w:lineRule="auto"/>
              <w:jc w:val="center"/>
              <w:rPr>
                <w:b/>
                <w:lang w:val="en-US"/>
              </w:rPr>
            </w:pPr>
            <w:r w:rsidRPr="00ED692D">
              <w:rPr>
                <w:b/>
                <w:lang w:val="en-US"/>
              </w:rPr>
              <w:t>Surveillance</w:t>
            </w:r>
          </w:p>
        </w:tc>
        <w:tc>
          <w:tcPr>
            <w:tcW w:w="1872" w:type="dxa"/>
            <w:shd w:val="clear" w:color="auto" w:fill="A3CAB8" w:themeFill="accent3" w:themeFillTint="99"/>
            <w:vAlign w:val="center"/>
          </w:tcPr>
          <w:p w14:paraId="53F09D37" w14:textId="77777777" w:rsidR="00DD6D07" w:rsidRPr="00ED692D" w:rsidRDefault="00DD6D07" w:rsidP="00E702AA">
            <w:pPr>
              <w:spacing w:before="120" w:after="120" w:line="240" w:lineRule="auto"/>
              <w:jc w:val="center"/>
              <w:rPr>
                <w:b/>
                <w:lang w:val="en-US"/>
              </w:rPr>
            </w:pPr>
            <w:r w:rsidRPr="00ED692D">
              <w:rPr>
                <w:b/>
                <w:lang w:val="en-US"/>
              </w:rPr>
              <w:t>Second Surveillance</w:t>
            </w:r>
          </w:p>
        </w:tc>
        <w:tc>
          <w:tcPr>
            <w:tcW w:w="1872" w:type="dxa"/>
            <w:shd w:val="clear" w:color="auto" w:fill="A3CAB8" w:themeFill="accent3" w:themeFillTint="99"/>
            <w:vAlign w:val="center"/>
          </w:tcPr>
          <w:p w14:paraId="50CC241E" w14:textId="77777777" w:rsidR="00DD6D07" w:rsidRDefault="00DD6D07" w:rsidP="00E702AA">
            <w:pPr>
              <w:spacing w:before="120" w:line="240" w:lineRule="auto"/>
              <w:jc w:val="center"/>
              <w:rPr>
                <w:b/>
                <w:lang w:val="en-US"/>
              </w:rPr>
            </w:pPr>
            <w:r w:rsidRPr="00ED692D">
              <w:rPr>
                <w:b/>
                <w:lang w:val="en-US"/>
              </w:rPr>
              <w:t>Third</w:t>
            </w:r>
          </w:p>
          <w:p w14:paraId="42926445" w14:textId="77777777" w:rsidR="00DD6D07" w:rsidRPr="00ED692D" w:rsidRDefault="00DD6D07" w:rsidP="00E702AA">
            <w:pPr>
              <w:spacing w:after="120" w:line="240" w:lineRule="auto"/>
              <w:jc w:val="center"/>
              <w:rPr>
                <w:b/>
                <w:lang w:val="en-US"/>
              </w:rPr>
            </w:pPr>
            <w:r w:rsidRPr="00ED692D">
              <w:rPr>
                <w:b/>
                <w:lang w:val="en-US"/>
              </w:rPr>
              <w:t>Surveillance</w:t>
            </w:r>
          </w:p>
        </w:tc>
        <w:tc>
          <w:tcPr>
            <w:tcW w:w="1873" w:type="dxa"/>
            <w:shd w:val="clear" w:color="auto" w:fill="A3CAB8" w:themeFill="accent3" w:themeFillTint="99"/>
            <w:vAlign w:val="center"/>
          </w:tcPr>
          <w:p w14:paraId="051D8EF3" w14:textId="77777777" w:rsidR="00DD6D07" w:rsidRDefault="00DD6D07" w:rsidP="00E702AA">
            <w:pPr>
              <w:spacing w:before="120" w:line="240" w:lineRule="auto"/>
              <w:jc w:val="center"/>
              <w:rPr>
                <w:b/>
                <w:lang w:val="en-US"/>
              </w:rPr>
            </w:pPr>
            <w:r w:rsidRPr="00ED692D">
              <w:rPr>
                <w:b/>
                <w:lang w:val="en-US"/>
              </w:rPr>
              <w:t>Fourth</w:t>
            </w:r>
          </w:p>
          <w:p w14:paraId="5A01B89F" w14:textId="77777777" w:rsidR="00DD6D07" w:rsidRPr="00ED692D" w:rsidRDefault="00DD6D07" w:rsidP="00E702AA">
            <w:pPr>
              <w:spacing w:after="120" w:line="240" w:lineRule="auto"/>
              <w:jc w:val="center"/>
              <w:rPr>
                <w:b/>
                <w:lang w:val="en-US"/>
              </w:rPr>
            </w:pPr>
            <w:r>
              <w:rPr>
                <w:b/>
                <w:lang w:val="en-US"/>
              </w:rPr>
              <w:t>S</w:t>
            </w:r>
            <w:r w:rsidRPr="00ED692D">
              <w:rPr>
                <w:b/>
                <w:lang w:val="en-US"/>
              </w:rPr>
              <w:t>urveillance</w:t>
            </w:r>
          </w:p>
        </w:tc>
      </w:tr>
      <w:tr w:rsidR="00DD6D07" w:rsidRPr="00ED692D" w14:paraId="1B07633E" w14:textId="77777777" w:rsidTr="00E702AA">
        <w:trPr>
          <w:trHeight w:val="710"/>
        </w:trPr>
        <w:tc>
          <w:tcPr>
            <w:tcW w:w="1861" w:type="dxa"/>
            <w:vAlign w:val="center"/>
          </w:tcPr>
          <w:p w14:paraId="24C00F4E" w14:textId="77777777" w:rsidR="00DD6D07" w:rsidRPr="005734BC" w:rsidRDefault="00DD6D07" w:rsidP="00E702AA">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2" w:type="dxa"/>
            <w:vAlign w:val="center"/>
          </w:tcPr>
          <w:p w14:paraId="7717E38C" w14:textId="77777777" w:rsidR="00DD6D07" w:rsidRPr="005734BC" w:rsidRDefault="00DD6D07" w:rsidP="00E702AA">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2" w:type="dxa"/>
            <w:vAlign w:val="center"/>
          </w:tcPr>
          <w:p w14:paraId="6A81653F" w14:textId="77755590" w:rsidR="00DD6D07" w:rsidRPr="005734BC" w:rsidRDefault="00603ED2" w:rsidP="00E702AA">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2" w:type="dxa"/>
            <w:vAlign w:val="center"/>
          </w:tcPr>
          <w:p w14:paraId="0116179A" w14:textId="2BF8AD27" w:rsidR="00DD6D07" w:rsidRPr="005734BC" w:rsidRDefault="00603ED2" w:rsidP="00E702AA">
            <w:pPr>
              <w:spacing w:before="120" w:after="120"/>
              <w:jc w:val="center"/>
              <w:rPr>
                <w:b/>
                <w:sz w:val="32"/>
                <w:szCs w:val="32"/>
                <w:lang w:val="en-US"/>
              </w:rPr>
            </w:pPr>
            <w:r>
              <w:rPr>
                <w:rFonts w:ascii="Menlo Regular" w:hAnsi="Menlo Regular" w:cs="Menlo Regular"/>
                <w:b/>
                <w:sz w:val="32"/>
                <w:szCs w:val="32"/>
                <w:lang w:val="en-US"/>
              </w:rPr>
              <w:t>X</w:t>
            </w:r>
          </w:p>
        </w:tc>
        <w:tc>
          <w:tcPr>
            <w:tcW w:w="1873" w:type="dxa"/>
            <w:vAlign w:val="center"/>
          </w:tcPr>
          <w:p w14:paraId="47943022" w14:textId="77777777" w:rsidR="00DD6D07" w:rsidRPr="005734BC" w:rsidRDefault="00DD6D07" w:rsidP="00E702AA">
            <w:pPr>
              <w:spacing w:before="120" w:after="120"/>
              <w:jc w:val="center"/>
              <w:rPr>
                <w:b/>
                <w:sz w:val="32"/>
                <w:szCs w:val="32"/>
                <w:lang w:val="en-US"/>
              </w:rPr>
            </w:pPr>
            <w:r w:rsidRPr="005734BC">
              <w:rPr>
                <w:rFonts w:ascii="Menlo Regular" w:hAnsi="Menlo Regular" w:cs="Menlo Regular"/>
                <w:b/>
                <w:sz w:val="32"/>
                <w:szCs w:val="32"/>
                <w:lang w:val="en-US"/>
              </w:rPr>
              <w:t>☐</w:t>
            </w:r>
          </w:p>
        </w:tc>
      </w:tr>
    </w:tbl>
    <w:p w14:paraId="05770D21" w14:textId="77777777" w:rsidR="00DD6D07" w:rsidRDefault="00DD6D07" w:rsidP="00DD6D07"/>
    <w:p w14:paraId="433F6907" w14:textId="2DFA48AC" w:rsidR="00DD6D07" w:rsidRDefault="00DD6D07" w:rsidP="00DD6D07">
      <w:pPr>
        <w:pStyle w:val="Virsraksts1"/>
      </w:pPr>
      <w:bookmarkStart w:id="1" w:name="_Toc454366453"/>
      <w:r>
        <w:lastRenderedPageBreak/>
        <w:t>Description of the Supply Base</w:t>
      </w:r>
      <w:bookmarkEnd w:id="1"/>
    </w:p>
    <w:p w14:paraId="75C2BDD5" w14:textId="23829BE1" w:rsidR="00DD6D07" w:rsidRDefault="00DD6D07" w:rsidP="00DD6D07">
      <w:pPr>
        <w:pStyle w:val="Virsraksts2"/>
      </w:pPr>
      <w:bookmarkStart w:id="2" w:name="_Toc454366454"/>
      <w:r>
        <w:t>General description</w:t>
      </w:r>
      <w:bookmarkEnd w:id="2"/>
    </w:p>
    <w:p w14:paraId="56B3E944" w14:textId="02882274" w:rsidR="00066C40" w:rsidRDefault="00066C40" w:rsidP="00066C40">
      <w:pPr>
        <w:ind w:left="-5"/>
      </w:pPr>
      <w:proofErr w:type="gramStart"/>
      <w:r>
        <w:t>SIA  PATA</w:t>
      </w:r>
      <w:proofErr w:type="gramEnd"/>
      <w:r>
        <w:t xml:space="preserve">  holds  valid  PEFC  and  FSC  COC  certificates,  covering  volume credit  method  (PEFC)  and  transfer  system  (FSC);  all  feedstock  used  for  biomass  production  and  trade  with  SBP  claims  is  sourced  under  the  existing  FSC   </w:t>
      </w:r>
      <w:proofErr w:type="spellStart"/>
      <w:r>
        <w:t>CoC</w:t>
      </w:r>
      <w:proofErr w:type="spellEnd"/>
      <w:r>
        <w:t xml:space="preserve">  systems. </w:t>
      </w:r>
      <w:proofErr w:type="gramStart"/>
      <w:r>
        <w:t>All  of</w:t>
      </w:r>
      <w:proofErr w:type="gramEnd"/>
      <w:r>
        <w:t xml:space="preserve">  certified  material  is  stored  separately  from  any  other  material  SIA  PATA  might  have  sourced.    </w:t>
      </w:r>
    </w:p>
    <w:p w14:paraId="03CC9303" w14:textId="77777777" w:rsidR="00BB4A74" w:rsidRDefault="00BB4A74" w:rsidP="00BB4A74">
      <w:pPr>
        <w:ind w:left="-5"/>
      </w:pPr>
      <w:proofErr w:type="gramStart"/>
      <w:r>
        <w:t>For  the</w:t>
      </w:r>
      <w:proofErr w:type="gramEnd"/>
      <w:r>
        <w:t xml:space="preserve">  scope  of  SBP  certification  SIA  PATA  includes  following  roles:  </w:t>
      </w:r>
    </w:p>
    <w:p w14:paraId="5A308792" w14:textId="77777777" w:rsidR="00BB4A74" w:rsidRDefault="00BB4A74" w:rsidP="00BB4A74">
      <w:pPr>
        <w:ind w:left="730"/>
      </w:pPr>
      <w:r>
        <w:t>-­   Biomass   Producer   that   creates   biomass</w:t>
      </w:r>
      <w:proofErr w:type="gramStart"/>
      <w:r>
        <w:t xml:space="preserve">   (</w:t>
      </w:r>
      <w:proofErr w:type="gramEnd"/>
      <w:r>
        <w:t xml:space="preserve">woodchips)   from   feedstock   inputs   –   wood   chips   are  produced  using  portable  woodchipper. </w:t>
      </w:r>
    </w:p>
    <w:p w14:paraId="12CDCFB2" w14:textId="77777777" w:rsidR="00BB4A74" w:rsidRDefault="00BB4A74" w:rsidP="00BB4A74">
      <w:r>
        <w:t xml:space="preserve">SIA PATA use 2 mobile woodchippers. Mobile </w:t>
      </w:r>
      <w:proofErr w:type="spellStart"/>
      <w:r>
        <w:t>woodchipers</w:t>
      </w:r>
      <w:proofErr w:type="spellEnd"/>
      <w:r>
        <w:t xml:space="preserve"> travel around storage facilities and make chipping operation – produce “SBP-compliant” biomass from “SBP-compliant” feedstocks. Mobile woodchippers are used from others SIA PATA storage sites also.</w:t>
      </w:r>
    </w:p>
    <w:p w14:paraId="7CA5A977" w14:textId="77777777" w:rsidR="00BB4A74" w:rsidRDefault="00BB4A74" w:rsidP="00BB4A74">
      <w:pPr>
        <w:ind w:left="730"/>
      </w:pPr>
      <w:r>
        <w:t>-</w:t>
      </w:r>
      <w:proofErr w:type="gramStart"/>
      <w:r>
        <w:t>­  Trader</w:t>
      </w:r>
      <w:proofErr w:type="gramEnd"/>
      <w:r>
        <w:t xml:space="preserve">  that  takes  legal  ownership  of  biomass  (woodchips)  and  supplies  it  to  another  Legal  Owner  –  wood  chips  are  purchased  from  wood  chips  suppliers.  </w:t>
      </w:r>
    </w:p>
    <w:p w14:paraId="5F4EB121" w14:textId="77777777" w:rsidR="00066C40" w:rsidRDefault="00066C40" w:rsidP="00066C40">
      <w:pPr>
        <w:ind w:left="-5"/>
      </w:pPr>
      <w:proofErr w:type="gramStart"/>
      <w:r>
        <w:t>Feedstock  inputs</w:t>
      </w:r>
      <w:proofErr w:type="gramEnd"/>
      <w:r>
        <w:t xml:space="preserve">  SIA  PATA  uses  consists  of  roundwood  and  fuel  wood  (for  biomass  production  and  sale)  and  woodchips  (for  biomass  purchase  and  sale).  </w:t>
      </w:r>
      <w:proofErr w:type="gramStart"/>
      <w:r>
        <w:t>Presented  species</w:t>
      </w:r>
      <w:proofErr w:type="gramEnd"/>
      <w:r>
        <w:t xml:space="preserve">  are  birch,  ash,  spruce,  pine,  alder,  aspen,  oak.  </w:t>
      </w:r>
      <w:proofErr w:type="gramStart"/>
      <w:r>
        <w:t>No  CITIES</w:t>
      </w:r>
      <w:proofErr w:type="gramEnd"/>
      <w:r>
        <w:t xml:space="preserve">  or  IUCN  species  presented.</w:t>
      </w:r>
      <w:r>
        <w:rPr>
          <w:color w:val="0070C0"/>
        </w:rPr>
        <w:t xml:space="preserve">  </w:t>
      </w:r>
    </w:p>
    <w:p w14:paraId="68EE2AF5" w14:textId="77777777" w:rsidR="00066C40" w:rsidRDefault="00066C40" w:rsidP="00066C40">
      <w:pPr>
        <w:ind w:left="-5"/>
      </w:pPr>
      <w:proofErr w:type="gramStart"/>
      <w:r>
        <w:t>SIA  PATA</w:t>
      </w:r>
      <w:proofErr w:type="gramEnd"/>
      <w:r>
        <w:t xml:space="preserve">  purchases  feedstock  from  private  forests  and  also  from  state  owned  forests.  </w:t>
      </w:r>
    </w:p>
    <w:p w14:paraId="13F2EF65" w14:textId="0D132533" w:rsidR="00066C40" w:rsidRDefault="00066C40" w:rsidP="00066C40">
      <w:pPr>
        <w:ind w:left="-5"/>
      </w:pPr>
      <w:proofErr w:type="gramStart"/>
      <w:r>
        <w:t>The  input</w:t>
      </w:r>
      <w:proofErr w:type="gramEnd"/>
      <w:r>
        <w:t xml:space="preserve">  material  used  by  SIA  PATA  for  the  scope  of  SBP  contains  primary  feedstock  supplied  by  suppliers  from  Latvia.  </w:t>
      </w:r>
      <w:proofErr w:type="gramStart"/>
      <w:r>
        <w:t>Material  are</w:t>
      </w:r>
      <w:proofErr w:type="gramEnd"/>
      <w:r>
        <w:t xml:space="preserve">  sourced  in  compliance  with  states  legal  requirements  and  EUTR.  </w:t>
      </w:r>
    </w:p>
    <w:p w14:paraId="3286BC44" w14:textId="5891BD3A" w:rsidR="00D12356" w:rsidRDefault="00D12356" w:rsidP="00066C40">
      <w:pPr>
        <w:ind w:left="-5"/>
      </w:pPr>
      <w:r>
        <w:t xml:space="preserve">Data from deliveries period 01 Jan 2019 – 31 Dec </w:t>
      </w:r>
      <w:proofErr w:type="gramStart"/>
      <w:r>
        <w:t>2019</w:t>
      </w:r>
      <w:r w:rsidR="006B0350">
        <w:t xml:space="preserve"> :</w:t>
      </w:r>
      <w:proofErr w:type="gramEnd"/>
      <w:r w:rsidR="006B0350">
        <w:t xml:space="preserve"> SBP-compliant Primary Feedstock 100% and the tree species used – </w:t>
      </w:r>
      <w:proofErr w:type="spellStart"/>
      <w:r w:rsidR="006B0350">
        <w:t>Picea</w:t>
      </w:r>
      <w:proofErr w:type="spellEnd"/>
      <w:r w:rsidR="006B0350">
        <w:t xml:space="preserve"> </w:t>
      </w:r>
      <w:proofErr w:type="spellStart"/>
      <w:r w:rsidR="006B0350">
        <w:t>abies</w:t>
      </w:r>
      <w:proofErr w:type="spellEnd"/>
      <w:r w:rsidR="006B0350">
        <w:t xml:space="preserve">, Pinus Sylvestris, </w:t>
      </w:r>
      <w:proofErr w:type="spellStart"/>
      <w:r w:rsidR="006B0350">
        <w:t>Alnus</w:t>
      </w:r>
      <w:proofErr w:type="spellEnd"/>
      <w:r w:rsidR="006B0350">
        <w:t xml:space="preserve"> </w:t>
      </w:r>
      <w:proofErr w:type="spellStart"/>
      <w:r w:rsidR="006B0350">
        <w:t>glutinosa</w:t>
      </w:r>
      <w:proofErr w:type="spellEnd"/>
      <w:r w:rsidR="006B0350">
        <w:t xml:space="preserve">, </w:t>
      </w:r>
      <w:proofErr w:type="spellStart"/>
      <w:r w:rsidR="006B0350">
        <w:t>Alnus</w:t>
      </w:r>
      <w:proofErr w:type="spellEnd"/>
      <w:r w:rsidR="006B0350">
        <w:t xml:space="preserve"> </w:t>
      </w:r>
      <w:proofErr w:type="spellStart"/>
      <w:r w:rsidR="006B0350">
        <w:t>incana</w:t>
      </w:r>
      <w:proofErr w:type="spellEnd"/>
      <w:r w:rsidR="006B0350">
        <w:t xml:space="preserve">, </w:t>
      </w:r>
      <w:proofErr w:type="spellStart"/>
      <w:r w:rsidR="006B0350">
        <w:t>Populus</w:t>
      </w:r>
      <w:proofErr w:type="spellEnd"/>
      <w:r w:rsidR="006B0350">
        <w:t xml:space="preserve"> </w:t>
      </w:r>
      <w:proofErr w:type="spellStart"/>
      <w:r w:rsidR="006B0350">
        <w:t>tremula</w:t>
      </w:r>
      <w:proofErr w:type="spellEnd"/>
      <w:r w:rsidR="006B0350">
        <w:t xml:space="preserve">, Betula pendula, Betula </w:t>
      </w:r>
      <w:proofErr w:type="spellStart"/>
      <w:r w:rsidR="006B0350">
        <w:t>pubescens</w:t>
      </w:r>
      <w:proofErr w:type="spellEnd"/>
      <w:r w:rsidR="006B0350">
        <w:t>.</w:t>
      </w:r>
    </w:p>
    <w:p w14:paraId="69D6A8DD" w14:textId="77777777" w:rsidR="00066C40" w:rsidRPr="008124D3" w:rsidRDefault="00066C40" w:rsidP="00066C40">
      <w:pPr>
        <w:ind w:left="-5"/>
        <w:rPr>
          <w:u w:val="single"/>
        </w:rPr>
      </w:pPr>
      <w:proofErr w:type="gramStart"/>
      <w:r w:rsidRPr="008124D3">
        <w:rPr>
          <w:u w:val="single"/>
        </w:rPr>
        <w:t>Description  of</w:t>
      </w:r>
      <w:proofErr w:type="gramEnd"/>
      <w:r w:rsidRPr="008124D3">
        <w:rPr>
          <w:u w:val="single"/>
        </w:rPr>
        <w:t xml:space="preserve">  supply  regions:  </w:t>
      </w:r>
    </w:p>
    <w:p w14:paraId="6B1928CF" w14:textId="77777777" w:rsidR="00066C40" w:rsidRDefault="00066C40" w:rsidP="00066C40">
      <w:pPr>
        <w:spacing w:after="260" w:line="259" w:lineRule="auto"/>
        <w:ind w:left="-5"/>
      </w:pPr>
      <w:r>
        <w:rPr>
          <w:u w:val="single" w:color="000000"/>
        </w:rPr>
        <w:t>Latvia</w:t>
      </w:r>
      <w:r>
        <w:t xml:space="preserve">  </w:t>
      </w:r>
    </w:p>
    <w:p w14:paraId="3F3F7713" w14:textId="77777777" w:rsidR="00066C40" w:rsidRDefault="00066C40" w:rsidP="00066C40">
      <w:pPr>
        <w:ind w:left="-5"/>
      </w:pPr>
      <w:proofErr w:type="gramStart"/>
      <w:r>
        <w:t>In  Latvia</w:t>
      </w:r>
      <w:proofErr w:type="gramEnd"/>
      <w:r>
        <w:t xml:space="preserve">,  forests  cover  area  of  3,07  million  ha.  </w:t>
      </w:r>
      <w:proofErr w:type="gramStart"/>
      <w:r>
        <w:t>According  to</w:t>
      </w:r>
      <w:proofErr w:type="gramEnd"/>
      <w:r>
        <w:t xml:space="preserve">  the  data  of  the  State  Forest  Service  (concerning  the  surveyed  area  allocated  to  management  activities  regulated  by  the  Forest  Law),  woodenness  amounts  to  52  %.  </w:t>
      </w:r>
      <w:proofErr w:type="gramStart"/>
      <w:r>
        <w:t>Latvia  is</w:t>
      </w:r>
      <w:proofErr w:type="gramEnd"/>
      <w:r>
        <w:t xml:space="preserve">  one  of  the  most  forested  EU  member  states.  </w:t>
      </w:r>
    </w:p>
    <w:p w14:paraId="00C7E0B5" w14:textId="77777777" w:rsidR="00066C40" w:rsidRDefault="00066C40" w:rsidP="00066C40">
      <w:pPr>
        <w:ind w:left="-5"/>
      </w:pPr>
      <w:proofErr w:type="gramStart"/>
      <w:r>
        <w:t>The  Latvian</w:t>
      </w:r>
      <w:proofErr w:type="gramEnd"/>
      <w:r>
        <w:t xml:space="preserve">  State  owns  1,5  million  ha  of  forest  (49  %  of  the  total  forest  area),  while  the  other  1,57  million  ha  (51.  </w:t>
      </w:r>
      <w:proofErr w:type="gramStart"/>
      <w:r>
        <w:t>%  of</w:t>
      </w:r>
      <w:proofErr w:type="gramEnd"/>
      <w:r>
        <w:t xml:space="preserve">  the  total  forest  area)  belong  to  other  owners.  </w:t>
      </w:r>
      <w:proofErr w:type="gramStart"/>
      <w:r>
        <w:t>Forests  owned</w:t>
      </w:r>
      <w:proofErr w:type="gramEnd"/>
      <w:r>
        <w:t xml:space="preserve">  by  the  state  are  managed  by  state  stock  company  </w:t>
      </w:r>
      <w:proofErr w:type="spellStart"/>
      <w:r>
        <w:t>Latvijas</w:t>
      </w:r>
      <w:proofErr w:type="spellEnd"/>
      <w:r>
        <w:t xml:space="preserve">  </w:t>
      </w:r>
      <w:proofErr w:type="spellStart"/>
      <w:r>
        <w:t>Valsts</w:t>
      </w:r>
      <w:proofErr w:type="spellEnd"/>
      <w:r>
        <w:t xml:space="preserve">  </w:t>
      </w:r>
      <w:proofErr w:type="spellStart"/>
      <w:r>
        <w:t>Meži</w:t>
      </w:r>
      <w:proofErr w:type="spellEnd"/>
      <w:r>
        <w:t xml:space="preserve">  (Latvian  State  Forests).  </w:t>
      </w:r>
      <w:proofErr w:type="gramStart"/>
      <w:r>
        <w:t>Private  forest</w:t>
      </w:r>
      <w:proofErr w:type="gramEnd"/>
      <w:r>
        <w:t xml:space="preserve">  owners  in  Latvia  amount  to  approximately  144,000.    </w:t>
      </w:r>
    </w:p>
    <w:p w14:paraId="0F727EEC" w14:textId="77777777" w:rsidR="00BB4A74" w:rsidRDefault="00BB4A74" w:rsidP="00066C40">
      <w:pPr>
        <w:spacing w:after="96"/>
        <w:ind w:left="-5"/>
      </w:pPr>
    </w:p>
    <w:p w14:paraId="4AB964BC" w14:textId="77777777" w:rsidR="00BB4A74" w:rsidRDefault="00BB4A74" w:rsidP="00066C40">
      <w:pPr>
        <w:spacing w:after="96"/>
        <w:ind w:left="-5"/>
      </w:pPr>
    </w:p>
    <w:p w14:paraId="0F043A34" w14:textId="367BE97E" w:rsidR="00066C40" w:rsidRDefault="00066C40" w:rsidP="00066C40">
      <w:pPr>
        <w:spacing w:after="96"/>
        <w:ind w:left="-5"/>
      </w:pPr>
      <w:proofErr w:type="gramStart"/>
      <w:r>
        <w:t>Forest  land</w:t>
      </w:r>
      <w:proofErr w:type="gramEnd"/>
      <w:r>
        <w:t xml:space="preserve">  consists  of:  </w:t>
      </w:r>
    </w:p>
    <w:p w14:paraId="30398415" w14:textId="77777777" w:rsidR="00066C40" w:rsidRDefault="00066C40" w:rsidP="00066C40">
      <w:pPr>
        <w:numPr>
          <w:ilvl w:val="0"/>
          <w:numId w:val="17"/>
        </w:numPr>
        <w:spacing w:after="96" w:line="265" w:lineRule="auto"/>
        <w:ind w:hanging="181"/>
      </w:pPr>
      <w:proofErr w:type="gramStart"/>
      <w:r>
        <w:t>forests  3</w:t>
      </w:r>
      <w:proofErr w:type="gramEnd"/>
      <w:r>
        <w:t xml:space="preserve">,07m  ha  (91.3%);;  </w:t>
      </w:r>
    </w:p>
    <w:p w14:paraId="298CD888" w14:textId="77777777" w:rsidR="00066C40" w:rsidRDefault="00066C40" w:rsidP="00066C40">
      <w:pPr>
        <w:numPr>
          <w:ilvl w:val="0"/>
          <w:numId w:val="17"/>
        </w:numPr>
        <w:spacing w:after="96" w:line="265" w:lineRule="auto"/>
        <w:ind w:hanging="181"/>
      </w:pPr>
      <w:proofErr w:type="gramStart"/>
      <w:r>
        <w:t>marshes  0</w:t>
      </w:r>
      <w:proofErr w:type="gramEnd"/>
      <w:r>
        <w:t xml:space="preserve">,18m  ha  (5.3%);;  </w:t>
      </w:r>
    </w:p>
    <w:p w14:paraId="1B5BB2C3" w14:textId="77777777" w:rsidR="00066C40" w:rsidRDefault="00066C40" w:rsidP="00066C40">
      <w:pPr>
        <w:numPr>
          <w:ilvl w:val="0"/>
          <w:numId w:val="17"/>
        </w:numPr>
        <w:spacing w:after="91" w:line="265" w:lineRule="auto"/>
        <w:ind w:hanging="181"/>
      </w:pPr>
      <w:proofErr w:type="gramStart"/>
      <w:r>
        <w:t>open  areas</w:t>
      </w:r>
      <w:proofErr w:type="gramEnd"/>
      <w:r>
        <w:t xml:space="preserve">  0,035m  ha  (1.1%);;  </w:t>
      </w:r>
    </w:p>
    <w:p w14:paraId="27E59A67" w14:textId="77777777" w:rsidR="00066C40" w:rsidRDefault="00066C40" w:rsidP="00066C40">
      <w:pPr>
        <w:numPr>
          <w:ilvl w:val="0"/>
          <w:numId w:val="17"/>
        </w:numPr>
        <w:spacing w:after="96" w:line="265" w:lineRule="auto"/>
        <w:ind w:hanging="181"/>
      </w:pPr>
      <w:proofErr w:type="gramStart"/>
      <w:r>
        <w:t>flooded  areas</w:t>
      </w:r>
      <w:proofErr w:type="gramEnd"/>
      <w:r>
        <w:t xml:space="preserve">  0,018m  ha  (0,5%);;  </w:t>
      </w:r>
    </w:p>
    <w:p w14:paraId="2E611C0D" w14:textId="77777777" w:rsidR="00066C40" w:rsidRDefault="00066C40" w:rsidP="00066C40">
      <w:pPr>
        <w:numPr>
          <w:ilvl w:val="0"/>
          <w:numId w:val="17"/>
        </w:numPr>
        <w:spacing w:after="103" w:line="420" w:lineRule="auto"/>
        <w:ind w:hanging="181"/>
      </w:pPr>
      <w:proofErr w:type="gramStart"/>
      <w:r>
        <w:t>objects  of</w:t>
      </w:r>
      <w:proofErr w:type="gramEnd"/>
      <w:r>
        <w:t xml:space="preserve">  infrastructure  0,062m  ha  (1.8%).  </w:t>
      </w:r>
      <w:proofErr w:type="gramStart"/>
      <w:r>
        <w:t>For  most</w:t>
      </w:r>
      <w:proofErr w:type="gramEnd"/>
      <w:r>
        <w:t xml:space="preserve">  of    forest  the  dominant  tree  species  are  coniferous  trees  -­  pine  and  spruce.  </w:t>
      </w:r>
      <w:proofErr w:type="gramStart"/>
      <w:r>
        <w:t>Latvia  forests</w:t>
      </w:r>
      <w:proofErr w:type="gramEnd"/>
      <w:r>
        <w:t xml:space="preserve">  mainly  consists  of  coniferous  trees,  but  significant  part  are  also  occupied  by  other  species.    </w:t>
      </w:r>
      <w:proofErr w:type="gramStart"/>
      <w:r>
        <w:t>Forest  area</w:t>
      </w:r>
      <w:proofErr w:type="gramEnd"/>
      <w:r>
        <w:t xml:space="preserve">  by  dominant  species:    </w:t>
      </w:r>
    </w:p>
    <w:p w14:paraId="5E7DEA83" w14:textId="77777777" w:rsidR="00066C40" w:rsidRDefault="00066C40" w:rsidP="00066C40">
      <w:pPr>
        <w:numPr>
          <w:ilvl w:val="0"/>
          <w:numId w:val="17"/>
        </w:numPr>
        <w:spacing w:after="96" w:line="265" w:lineRule="auto"/>
        <w:ind w:hanging="181"/>
      </w:pPr>
      <w:proofErr w:type="gramStart"/>
      <w:r>
        <w:t>pine  35</w:t>
      </w:r>
      <w:proofErr w:type="gramEnd"/>
      <w:r>
        <w:t xml:space="preserve">  %;;    </w:t>
      </w:r>
    </w:p>
    <w:p w14:paraId="1F9A863C" w14:textId="77777777" w:rsidR="00066C40" w:rsidRDefault="00066C40" w:rsidP="00066C40">
      <w:pPr>
        <w:numPr>
          <w:ilvl w:val="0"/>
          <w:numId w:val="17"/>
        </w:numPr>
        <w:spacing w:after="96" w:line="265" w:lineRule="auto"/>
        <w:ind w:hanging="181"/>
      </w:pPr>
      <w:proofErr w:type="gramStart"/>
      <w:r>
        <w:t>spruce  18.1</w:t>
      </w:r>
      <w:proofErr w:type="gramEnd"/>
      <w:r>
        <w:t xml:space="preserve">  %;;  </w:t>
      </w:r>
    </w:p>
    <w:p w14:paraId="061C777A" w14:textId="77777777" w:rsidR="00066C40" w:rsidRDefault="00066C40" w:rsidP="00066C40">
      <w:pPr>
        <w:numPr>
          <w:ilvl w:val="0"/>
          <w:numId w:val="17"/>
        </w:numPr>
        <w:spacing w:after="96" w:line="265" w:lineRule="auto"/>
        <w:ind w:hanging="181"/>
      </w:pPr>
      <w:proofErr w:type="gramStart"/>
      <w:r>
        <w:t>birch  30.6</w:t>
      </w:r>
      <w:proofErr w:type="gramEnd"/>
      <w:r>
        <w:t xml:space="preserve">  %;;  </w:t>
      </w:r>
    </w:p>
    <w:p w14:paraId="0D204855" w14:textId="77777777" w:rsidR="00066C40" w:rsidRDefault="00066C40" w:rsidP="00066C40">
      <w:pPr>
        <w:numPr>
          <w:ilvl w:val="0"/>
          <w:numId w:val="17"/>
        </w:numPr>
        <w:spacing w:after="91" w:line="265" w:lineRule="auto"/>
        <w:ind w:hanging="181"/>
      </w:pPr>
      <w:proofErr w:type="spellStart"/>
      <w:proofErr w:type="gramStart"/>
      <w:r>
        <w:t>gray</w:t>
      </w:r>
      <w:proofErr w:type="spellEnd"/>
      <w:r>
        <w:t xml:space="preserve">  alder</w:t>
      </w:r>
      <w:proofErr w:type="gramEnd"/>
      <w:r>
        <w:t xml:space="preserve">  7.2  %:  </w:t>
      </w:r>
    </w:p>
    <w:p w14:paraId="2A83A385" w14:textId="77777777" w:rsidR="00066C40" w:rsidRDefault="00066C40" w:rsidP="00066C40">
      <w:pPr>
        <w:numPr>
          <w:ilvl w:val="0"/>
          <w:numId w:val="17"/>
        </w:numPr>
        <w:spacing w:after="96" w:line="265" w:lineRule="auto"/>
        <w:ind w:hanging="181"/>
      </w:pPr>
      <w:proofErr w:type="gramStart"/>
      <w:r>
        <w:t>black  alder</w:t>
      </w:r>
      <w:proofErr w:type="gramEnd"/>
      <w:r>
        <w:t xml:space="preserve">  2.9  %;;  </w:t>
      </w:r>
    </w:p>
    <w:p w14:paraId="1724F977" w14:textId="77777777" w:rsidR="00066C40" w:rsidRDefault="00066C40" w:rsidP="00066C40">
      <w:pPr>
        <w:numPr>
          <w:ilvl w:val="0"/>
          <w:numId w:val="17"/>
        </w:numPr>
        <w:spacing w:after="96" w:line="265" w:lineRule="auto"/>
        <w:ind w:hanging="181"/>
      </w:pPr>
      <w:proofErr w:type="gramStart"/>
      <w:r>
        <w:t>aspen  5.0</w:t>
      </w:r>
      <w:proofErr w:type="gramEnd"/>
      <w:r>
        <w:t xml:space="preserve">  %;;  </w:t>
      </w:r>
    </w:p>
    <w:p w14:paraId="0082FD09" w14:textId="77777777" w:rsidR="00066C40" w:rsidRDefault="00066C40" w:rsidP="00066C40">
      <w:pPr>
        <w:numPr>
          <w:ilvl w:val="0"/>
          <w:numId w:val="17"/>
        </w:numPr>
        <w:spacing w:after="96" w:line="265" w:lineRule="auto"/>
        <w:ind w:hanging="181"/>
      </w:pPr>
      <w:proofErr w:type="gramStart"/>
      <w:r>
        <w:t>oak  0.3</w:t>
      </w:r>
      <w:proofErr w:type="gramEnd"/>
      <w:r>
        <w:t xml:space="preserve">  %;;  </w:t>
      </w:r>
    </w:p>
    <w:p w14:paraId="3C31FB97" w14:textId="77777777" w:rsidR="00066C40" w:rsidRDefault="00066C40" w:rsidP="00066C40">
      <w:pPr>
        <w:numPr>
          <w:ilvl w:val="0"/>
          <w:numId w:val="17"/>
        </w:numPr>
        <w:spacing w:after="96" w:line="265" w:lineRule="auto"/>
        <w:ind w:hanging="181"/>
      </w:pPr>
      <w:proofErr w:type="gramStart"/>
      <w:r>
        <w:t>ash  0.5</w:t>
      </w:r>
      <w:proofErr w:type="gramEnd"/>
      <w:r>
        <w:t xml:space="preserve">  %:  </w:t>
      </w:r>
    </w:p>
    <w:p w14:paraId="648DA7F8" w14:textId="77777777" w:rsidR="00066C40" w:rsidRDefault="00066C40" w:rsidP="00066C40">
      <w:pPr>
        <w:numPr>
          <w:ilvl w:val="0"/>
          <w:numId w:val="17"/>
        </w:numPr>
        <w:spacing w:after="96" w:line="265" w:lineRule="auto"/>
        <w:ind w:hanging="181"/>
      </w:pPr>
      <w:proofErr w:type="gramStart"/>
      <w:r>
        <w:t>other  species</w:t>
      </w:r>
      <w:proofErr w:type="gramEnd"/>
      <w:r>
        <w:t xml:space="preserve">  0.3  %.  </w:t>
      </w:r>
    </w:p>
    <w:p w14:paraId="2971D1C7" w14:textId="77777777" w:rsidR="00066C40" w:rsidRDefault="00066C40" w:rsidP="00066C40">
      <w:pPr>
        <w:spacing w:after="106" w:line="259" w:lineRule="auto"/>
      </w:pPr>
      <w:r>
        <w:t xml:space="preserve">  </w:t>
      </w:r>
    </w:p>
    <w:p w14:paraId="0E897C5D" w14:textId="77777777" w:rsidR="00066C40" w:rsidRDefault="00066C40" w:rsidP="00066C40">
      <w:pPr>
        <w:ind w:left="-5"/>
      </w:pPr>
      <w:proofErr w:type="gramStart"/>
      <w:r>
        <w:t>The  amount</w:t>
      </w:r>
      <w:proofErr w:type="gramEnd"/>
      <w:r>
        <w:t xml:space="preserve">  of  forestland  is  constantly  expanding,  both  naturally  and  thanks  to  afforestation  of  infertile  land  and  other  land  that  is  not  used  for  agriculture.  </w:t>
      </w:r>
    </w:p>
    <w:p w14:paraId="4B74B0AF" w14:textId="77777777" w:rsidR="00066C40" w:rsidRDefault="00066C40" w:rsidP="00066C40">
      <w:pPr>
        <w:ind w:left="-5"/>
      </w:pPr>
      <w:proofErr w:type="gramStart"/>
      <w:r>
        <w:t>In  historical</w:t>
      </w:r>
      <w:proofErr w:type="gramEnd"/>
      <w:r>
        <w:t xml:space="preserve">  terms,  the  intensive  use  of  Latvia’s  forests  for  economic  purposes  began  comparatively  later  than  in  many  other  European  countries,  and  that  has  allowed  to  preserve  extensive  biological  diversity.  </w:t>
      </w:r>
      <w:proofErr w:type="gramStart"/>
      <w:r>
        <w:t>Limitations  on</w:t>
      </w:r>
      <w:proofErr w:type="gramEnd"/>
      <w:r>
        <w:t xml:space="preserve">  economic  activity  apply  to  12%  of  Latvia’s  forests  at  this  time,  and  most  of  this  territory  is  owned  by  the  state.  </w:t>
      </w:r>
      <w:proofErr w:type="gramStart"/>
      <w:r>
        <w:t>683  especially</w:t>
      </w:r>
      <w:proofErr w:type="gramEnd"/>
      <w:r>
        <w:t xml:space="preserve">  protected  environmental  territories  have  been  set  aside  to  protect  nature.  </w:t>
      </w:r>
      <w:proofErr w:type="gramStart"/>
      <w:r>
        <w:t>Many  of</w:t>
      </w:r>
      <w:proofErr w:type="gramEnd"/>
      <w:r>
        <w:t xml:space="preserve">  the  areas  have  been  included  in  the  European  network  of  protected  areas  Natura  2000.   In order to ensure the protection of a specially protected species or a biotope outside specially protected nature territories, micro-reserves are created, if any of the functional zones does not provide it. According to the State forest service, the total area of the micro-reserves in October 2016 was 43 217.30 ha. </w:t>
      </w:r>
    </w:p>
    <w:p w14:paraId="56AB0C8E" w14:textId="77777777" w:rsidR="00066C40" w:rsidRDefault="00066C40" w:rsidP="00066C40">
      <w:pPr>
        <w:ind w:left="-5"/>
      </w:pPr>
      <w:proofErr w:type="gramStart"/>
      <w:r>
        <w:t>The  forest</w:t>
      </w:r>
      <w:proofErr w:type="gramEnd"/>
      <w:r>
        <w:t xml:space="preserve">  sector  in  Latvia  is  under  the  supervision  of  the  Ministry  of  Agriculture.  </w:t>
      </w:r>
      <w:proofErr w:type="gramStart"/>
      <w:r>
        <w:t>It  works</w:t>
      </w:r>
      <w:proofErr w:type="gramEnd"/>
      <w:r>
        <w:t xml:space="preserve">  with  stakeholders  to  draft  forest  policies,  development  strategies  for  the  sector,  as  well  as  regulations  on  forest  management,  the  use  of  forest  resources,  environment  protection  and  hunting.    </w:t>
      </w:r>
    </w:p>
    <w:p w14:paraId="7B0D7B66" w14:textId="77777777" w:rsidR="00066C40" w:rsidRDefault="00066C40" w:rsidP="00066C40">
      <w:pPr>
        <w:ind w:left="-5"/>
      </w:pPr>
      <w:proofErr w:type="gramStart"/>
      <w:r>
        <w:t>The  state</w:t>
      </w:r>
      <w:proofErr w:type="gramEnd"/>
      <w:r>
        <w:t xml:space="preserve">  forest  service,  under  the  ministry  of  agriculture,  is  the  responsible  agency  for  supervising  how  the  provisions  of  the  laws  and  regulations  are  observed  in  forest  management  irrespective  of  the  ownership  type.  </w:t>
      </w:r>
    </w:p>
    <w:p w14:paraId="4F43F3C3" w14:textId="77777777" w:rsidR="00066C40" w:rsidRDefault="00066C40" w:rsidP="00066C40">
      <w:pPr>
        <w:ind w:left="-5"/>
      </w:pPr>
      <w:r>
        <w:lastRenderedPageBreak/>
        <w:t>State-­</w:t>
      </w:r>
      <w:proofErr w:type="gramStart"/>
      <w:r>
        <w:t>owned  forests</w:t>
      </w:r>
      <w:proofErr w:type="gramEnd"/>
      <w:r>
        <w:t xml:space="preserve">  are  managed  by  stock  Company  “Latvian  State  Forests”,  which  was  established  in  1999.  </w:t>
      </w:r>
      <w:proofErr w:type="gramStart"/>
      <w:r>
        <w:t>It  implements</w:t>
      </w:r>
      <w:proofErr w:type="gramEnd"/>
      <w:r>
        <w:t xml:space="preserve">  the  state’s  interests  in  terms  of  preserving  and  increasing  the  value  of  the  forest  and  enhancing  the  contributions  of  the  forest  to  the  national  economy.  </w:t>
      </w:r>
    </w:p>
    <w:p w14:paraId="7CEB557B" w14:textId="77777777" w:rsidR="00066C40" w:rsidRDefault="00066C40" w:rsidP="00066C40">
      <w:pPr>
        <w:spacing w:after="204" w:line="319" w:lineRule="auto"/>
        <w:ind w:left="-5" w:right="-11"/>
        <w:jc w:val="both"/>
      </w:pPr>
      <w:r>
        <w:t xml:space="preserve">During   the   past   </w:t>
      </w:r>
      <w:proofErr w:type="gramStart"/>
      <w:r>
        <w:t xml:space="preserve">decade,   </w:t>
      </w:r>
      <w:proofErr w:type="gramEnd"/>
      <w:r>
        <w:t xml:space="preserve">forest   owners   and   manufacturing   companies   in   Latvia   have   sought   to   receive  certification  of  the  sustainable  use  of  forest  resources.  </w:t>
      </w:r>
      <w:proofErr w:type="gramStart"/>
      <w:r>
        <w:t>Forest  management</w:t>
      </w:r>
      <w:proofErr w:type="gramEnd"/>
      <w:r>
        <w:t xml:space="preserve">  processes  and  timber  product  delivery  chains  in  Latvia  are  certified  on  the  basis  of  the  two  most  widely  used  systems  in  the  world  –  FSC  and  PEFC.   This   proves   that   the   country’s   forests   are   managed   according   to   internationally   </w:t>
      </w:r>
      <w:proofErr w:type="gramStart"/>
      <w:r>
        <w:t>acknowledged  standards</w:t>
      </w:r>
      <w:proofErr w:type="gramEnd"/>
      <w:r>
        <w:t xml:space="preserve">  of  good  forestry.  </w:t>
      </w:r>
    </w:p>
    <w:p w14:paraId="6B3B411F" w14:textId="77777777" w:rsidR="00066C40" w:rsidRDefault="00066C40" w:rsidP="00066C40">
      <w:pPr>
        <w:ind w:left="-5"/>
      </w:pPr>
      <w:proofErr w:type="gramStart"/>
      <w:r>
        <w:t>In  September</w:t>
      </w:r>
      <w:proofErr w:type="gramEnd"/>
      <w:r>
        <w:t xml:space="preserve">  2016  total  PEFC  Certified  Forest  Area  in  Latvia  was  1,683,604  hectares  and  44  Chain  of  Custody  Certificates.  (</w:t>
      </w:r>
      <w:proofErr w:type="gramStart"/>
      <w:r>
        <w:t>PEFC  Global</w:t>
      </w:r>
      <w:proofErr w:type="gramEnd"/>
      <w:r>
        <w:t xml:space="preserve">  Statistics:  SFM  &amp;  </w:t>
      </w:r>
      <w:proofErr w:type="spellStart"/>
      <w:r>
        <w:t>CoC</w:t>
      </w:r>
      <w:proofErr w:type="spellEnd"/>
      <w:r>
        <w:t xml:space="preserve">  Certification,  September  2016).  </w:t>
      </w:r>
      <w:r>
        <w:tab/>
        <w:t xml:space="preserve">  </w:t>
      </w:r>
    </w:p>
    <w:p w14:paraId="5B3E42C3" w14:textId="77777777" w:rsidR="00066C40" w:rsidRDefault="00066C40" w:rsidP="00066C40">
      <w:pPr>
        <w:ind w:left="-5"/>
      </w:pPr>
      <w:proofErr w:type="gramStart"/>
      <w:r>
        <w:t>In  November</w:t>
      </w:r>
      <w:proofErr w:type="gramEnd"/>
      <w:r>
        <w:t xml:space="preserve">  2016  total  FSC  Certified  Forest  Area  in  Latvia  was  1,299,477  hectares  and  300  Chain  of  Custody  Certificates.  (</w:t>
      </w:r>
      <w:proofErr w:type="gramStart"/>
      <w:r>
        <w:t>FSC  Facts</w:t>
      </w:r>
      <w:proofErr w:type="gramEnd"/>
      <w:r>
        <w:t xml:space="preserve">  &amp;  Figures,  November  3,  2016)  </w:t>
      </w:r>
    </w:p>
    <w:p w14:paraId="7E942075" w14:textId="77777777" w:rsidR="00066C40" w:rsidRDefault="00066C40" w:rsidP="00066C40">
      <w:pPr>
        <w:ind w:left="-5"/>
      </w:pPr>
      <w:proofErr w:type="gramStart"/>
      <w:r>
        <w:t>CITES  came</w:t>
      </w:r>
      <w:proofErr w:type="gramEnd"/>
      <w:r>
        <w:t xml:space="preserve">  into  force  in  Latvia  on  12/05/1997.  </w:t>
      </w:r>
    </w:p>
    <w:p w14:paraId="13AE1EBE" w14:textId="77777777" w:rsidR="00066C40" w:rsidRDefault="00066C40" w:rsidP="00066C40">
      <w:pPr>
        <w:spacing w:after="4" w:line="249" w:lineRule="auto"/>
        <w:ind w:left="-5" w:right="7242"/>
      </w:pPr>
      <w:r>
        <w:t xml:space="preserve">Resources:  </w:t>
      </w:r>
      <w:r>
        <w:rPr>
          <w:i/>
        </w:rPr>
        <w:t xml:space="preserve">www.zm.gov.lv  </w:t>
      </w:r>
    </w:p>
    <w:p w14:paraId="19DE2AC7" w14:textId="77777777" w:rsidR="00066C40" w:rsidRDefault="00066C40" w:rsidP="00066C40">
      <w:pPr>
        <w:spacing w:after="4" w:line="249" w:lineRule="auto"/>
        <w:ind w:left="-5" w:right="73"/>
      </w:pPr>
      <w:r>
        <w:rPr>
          <w:i/>
        </w:rPr>
        <w:t>http://www.vmd.gov.lv/valsts-­meza-­dienests/statiskas-­lapas/-­meza-­apsaimniekosana-­?nid=1472#</w:t>
      </w:r>
      <w:proofErr w:type="gramStart"/>
      <w:r>
        <w:rPr>
          <w:i/>
        </w:rPr>
        <w:t>jump  http://www.liaa.gov.lv/en/trade/industry-</w:t>
      </w:r>
      <w:proofErr w:type="gramEnd"/>
      <w:r>
        <w:rPr>
          <w:i/>
        </w:rPr>
        <w:t xml:space="preserve">­profiles/forest-­industry  PEFC  Global  Statistics:  SFM  &amp;  </w:t>
      </w:r>
      <w:proofErr w:type="spellStart"/>
      <w:r>
        <w:rPr>
          <w:i/>
        </w:rPr>
        <w:t>CoC</w:t>
      </w:r>
      <w:proofErr w:type="spellEnd"/>
      <w:r>
        <w:rPr>
          <w:i/>
        </w:rPr>
        <w:t xml:space="preserve">  Certification,  September  2016  FSC  Facts  &amp;  Figures,  November  3,  2016  </w:t>
      </w:r>
    </w:p>
    <w:p w14:paraId="7B1BE044" w14:textId="77777777" w:rsidR="00066C40" w:rsidRDefault="00066C40" w:rsidP="00066C40">
      <w:pPr>
        <w:spacing w:after="255" w:line="259" w:lineRule="auto"/>
      </w:pPr>
      <w:r>
        <w:t xml:space="preserve">  </w:t>
      </w:r>
    </w:p>
    <w:p w14:paraId="777797F2" w14:textId="77777777" w:rsidR="00066C40" w:rsidRDefault="00066C40" w:rsidP="00066C40">
      <w:pPr>
        <w:spacing w:after="260" w:line="259" w:lineRule="auto"/>
        <w:ind w:left="-5"/>
      </w:pPr>
      <w:r>
        <w:rPr>
          <w:u w:val="single" w:color="000000"/>
        </w:rPr>
        <w:t>Lithuania</w:t>
      </w:r>
      <w:r>
        <w:t xml:space="preserve">  </w:t>
      </w:r>
    </w:p>
    <w:p w14:paraId="420D19DF" w14:textId="77777777" w:rsidR="00066C40" w:rsidRDefault="00066C40" w:rsidP="00066C40">
      <w:pPr>
        <w:ind w:left="-5"/>
      </w:pPr>
      <w:proofErr w:type="gramStart"/>
      <w:r>
        <w:t>Forests  cover</w:t>
      </w:r>
      <w:proofErr w:type="gramEnd"/>
      <w:r>
        <w:t xml:space="preserve">  amounts  to  33.3  per  cent  of  the  territory  of  the  Republic  of  Lithuania  and  forest  land  constitute  an  area  of  2  177  000  hectares  as  of  1st  January  2014.  </w:t>
      </w:r>
      <w:proofErr w:type="gramStart"/>
      <w:r>
        <w:t>Expansion  of</w:t>
      </w:r>
      <w:proofErr w:type="gramEnd"/>
      <w:r>
        <w:t xml:space="preserve">  the  forest  area  has  been  one  of  the  main  objectives  of  Lithuanian  forestry  policy  over  the  last  years.  </w:t>
      </w:r>
      <w:proofErr w:type="gramStart"/>
      <w:r>
        <w:t>Due  to</w:t>
      </w:r>
      <w:proofErr w:type="gramEnd"/>
      <w:r>
        <w:t xml:space="preserve">  the  implementation  of  sustainable  forest  management  and  national  afforestation  measures,  forest  coverage  in  Lithuania  has  increased  by  2  per  cent  since  2003.  </w:t>
      </w:r>
    </w:p>
    <w:p w14:paraId="0BA65CB4" w14:textId="77777777" w:rsidR="00066C40" w:rsidRDefault="00066C40" w:rsidP="00066C40">
      <w:pPr>
        <w:ind w:left="-5"/>
      </w:pPr>
      <w:r>
        <w:t xml:space="preserve">Approximately   a   half   of   forest   land   in   Lithuania   is   owned   by   the   State   and   managed   by   42   State   </w:t>
      </w:r>
      <w:proofErr w:type="gramStart"/>
      <w:r>
        <w:t>Forest  Enterprises</w:t>
      </w:r>
      <w:proofErr w:type="gramEnd"/>
      <w:r>
        <w:t xml:space="preserve">  and  the  Directorate  General  of  State  Forests.  </w:t>
      </w:r>
      <w:proofErr w:type="gramStart"/>
      <w:r>
        <w:t>Respectively,  around</w:t>
      </w:r>
      <w:proofErr w:type="gramEnd"/>
      <w:r>
        <w:t xml:space="preserve">  40  per  cent  of  forest  land  is  privately  owned  and  the  rest  10  per  cent  is  still  reserved  for  restitution.  </w:t>
      </w:r>
    </w:p>
    <w:p w14:paraId="083F0CF5" w14:textId="77777777" w:rsidR="00066C40" w:rsidRDefault="00066C40" w:rsidP="00066C40">
      <w:pPr>
        <w:ind w:left="-5"/>
      </w:pPr>
      <w:proofErr w:type="gramStart"/>
      <w:r>
        <w:t>Occupying  1</w:t>
      </w:r>
      <w:proofErr w:type="gramEnd"/>
      <w:r>
        <w:t xml:space="preserve">  152  400  ha,  coniferous  stands  prevail  in  Lithuania,  covering  56.1  per  cent  of  the  forest  area.  </w:t>
      </w:r>
      <w:proofErr w:type="gramStart"/>
      <w:r>
        <w:t>They  are</w:t>
      </w:r>
      <w:proofErr w:type="gramEnd"/>
      <w:r>
        <w:t xml:space="preserve">  followed  by  softwood  deciduous  forests  (827  500  ha,  40.3  per  cent)  and  hardwood  deciduous  forest  (75  800  ha,  3.7  per  cent).  </w:t>
      </w:r>
      <w:proofErr w:type="gramStart"/>
      <w:r>
        <w:t>The  dominant</w:t>
      </w:r>
      <w:proofErr w:type="gramEnd"/>
      <w:r>
        <w:t xml:space="preserve">  tree  species  are  pine  (occupying  720  300  ha)  and  spruce  (429  600  ha).  </w:t>
      </w:r>
      <w:proofErr w:type="gramStart"/>
      <w:r>
        <w:t>Birch  stands</w:t>
      </w:r>
      <w:proofErr w:type="gramEnd"/>
      <w:r>
        <w:t xml:space="preserve">  are  prevalent  among  deciduous  trees,  covering  an  area  of  459  700  ha.  </w:t>
      </w:r>
    </w:p>
    <w:p w14:paraId="75E0C2E1" w14:textId="77777777" w:rsidR="00066C40" w:rsidRDefault="00066C40" w:rsidP="00066C40">
      <w:pPr>
        <w:ind w:left="-5"/>
      </w:pPr>
      <w:proofErr w:type="gramStart"/>
      <w:r>
        <w:t>Sustainable  forest</w:t>
      </w:r>
      <w:proofErr w:type="gramEnd"/>
      <w:r>
        <w:t xml:space="preserve">  management  is  the  overriding  objective  for  forest  policy  and  practise  in  Lithuania.  </w:t>
      </w:r>
      <w:proofErr w:type="gramStart"/>
      <w:r>
        <w:t>Therefore,  forest</w:t>
      </w:r>
      <w:proofErr w:type="gramEnd"/>
      <w:r>
        <w:t xml:space="preserve">  resources  are  used  responsibly  and  annual  timber  harvest  rate  does  not  exceed  the  annual  increment.  </w:t>
      </w:r>
      <w:proofErr w:type="gramStart"/>
      <w:r>
        <w:t>Lithuania’s  forests</w:t>
      </w:r>
      <w:proofErr w:type="gramEnd"/>
      <w:r>
        <w:t xml:space="preserve">  produce  around  7,4  million  m³  of  round wood per year.  </w:t>
      </w:r>
      <w:proofErr w:type="gramStart"/>
      <w:r>
        <w:t xml:space="preserve">Annual  </w:t>
      </w:r>
      <w:proofErr w:type="spellStart"/>
      <w:r>
        <w:t>fellings</w:t>
      </w:r>
      <w:proofErr w:type="spellEnd"/>
      <w:proofErr w:type="gramEnd"/>
      <w:r>
        <w:t xml:space="preserve">  do  not  exceed  60  per  cent  of  gross  total  annual  increment.  </w:t>
      </w:r>
    </w:p>
    <w:p w14:paraId="4AA13490" w14:textId="77777777" w:rsidR="00066C40" w:rsidRDefault="00066C40" w:rsidP="00066C40">
      <w:pPr>
        <w:ind w:left="-5"/>
      </w:pPr>
      <w:proofErr w:type="gramStart"/>
      <w:r>
        <w:lastRenderedPageBreak/>
        <w:t>Forests  are</w:t>
      </w:r>
      <w:proofErr w:type="gramEnd"/>
      <w:r>
        <w:t xml:space="preserve">  divided  into  groups  upon  the  objectives  of  the  economic  activities,  their  regime  and  the  major  functional  purpose.  </w:t>
      </w:r>
    </w:p>
    <w:p w14:paraId="256A57D9" w14:textId="77777777" w:rsidR="00066C40" w:rsidRDefault="00066C40" w:rsidP="00066C40">
      <w:pPr>
        <w:ind w:left="-5"/>
      </w:pPr>
      <w:proofErr w:type="gramStart"/>
      <w:r>
        <w:t>Group  I</w:t>
      </w:r>
      <w:proofErr w:type="gramEnd"/>
      <w:r>
        <w:t xml:space="preserve">  –  strict  reserves  forests.  </w:t>
      </w:r>
      <w:proofErr w:type="gramStart"/>
      <w:r>
        <w:t>These  are</w:t>
      </w:r>
      <w:proofErr w:type="gramEnd"/>
      <w:r>
        <w:t xml:space="preserve">  the  strict  reserves  and  small  strict  reserves  forests  on  the  territories  of  state  strict  nature  reserves,  state  parks  and  biosphere  monitoring  territories.  </w:t>
      </w:r>
      <w:proofErr w:type="gramStart"/>
      <w:r>
        <w:t>Objective  of</w:t>
      </w:r>
      <w:proofErr w:type="gramEnd"/>
      <w:r>
        <w:t xml:space="preserve">  economic  activities  –  to  preserve  the  forests  for  a  natural  growth.  </w:t>
      </w:r>
    </w:p>
    <w:p w14:paraId="7BB8EA02" w14:textId="77777777" w:rsidR="00066C40" w:rsidRDefault="00066C40" w:rsidP="00066C40">
      <w:pPr>
        <w:ind w:left="-5"/>
      </w:pPr>
      <w:proofErr w:type="gramStart"/>
      <w:r>
        <w:t>Group  II</w:t>
      </w:r>
      <w:proofErr w:type="gramEnd"/>
      <w:r>
        <w:t xml:space="preserve">  –  forests  of  special  purpose,  split  into  the  following:  A  –  ecosystem  protection  forests.  </w:t>
      </w:r>
      <w:proofErr w:type="gramStart"/>
      <w:r>
        <w:t>Landscape,  botanical</w:t>
      </w:r>
      <w:proofErr w:type="gramEnd"/>
      <w:r>
        <w:t xml:space="preserve">,  forest  genetic,  zoological,  botanical-­zoological  reserves  and  reserves  of  these  types  in  state  parks  and   biosphere   monitoring   territories.   Objective   of   economic   activities   –   to   preserve   or   restore   </w:t>
      </w:r>
      <w:proofErr w:type="gramStart"/>
      <w:r>
        <w:t>forest  ecosystems</w:t>
      </w:r>
      <w:proofErr w:type="gramEnd"/>
      <w:r>
        <w:t xml:space="preserve">  or  separate  ecosystem  components.  </w:t>
      </w:r>
      <w:proofErr w:type="gramStart"/>
      <w:r>
        <w:t>B  –</w:t>
      </w:r>
      <w:proofErr w:type="gramEnd"/>
      <w:r>
        <w:t xml:space="preserve">  recreational  forests.  </w:t>
      </w:r>
      <w:proofErr w:type="gramStart"/>
      <w:r>
        <w:t>Recreational  forests</w:t>
      </w:r>
      <w:proofErr w:type="gramEnd"/>
      <w:r>
        <w:t xml:space="preserve">  cover  forest  parks,  urban  (city)  forests,  forests  of  recreation  zones  of  the  state  parks,  recreational  forest  areas  and  other  forests  defined  for  recreation.  </w:t>
      </w:r>
      <w:proofErr w:type="gramStart"/>
      <w:r>
        <w:t>Objective  of</w:t>
      </w:r>
      <w:proofErr w:type="gramEnd"/>
      <w:r>
        <w:t xml:space="preserve">  economic  activities  –  to  form  and  preserve  the  recreational  forest  environment.  </w:t>
      </w:r>
    </w:p>
    <w:p w14:paraId="7FF6482F" w14:textId="77777777" w:rsidR="00066C40" w:rsidRDefault="00066C40" w:rsidP="00066C40">
      <w:pPr>
        <w:spacing w:after="214" w:line="319" w:lineRule="auto"/>
        <w:ind w:left="-5" w:right="-11"/>
        <w:jc w:val="both"/>
      </w:pPr>
      <w:r>
        <w:t xml:space="preserve">Group   III   –   protective   forests.   These   are   the   forests   in   the   territories   of   </w:t>
      </w:r>
      <w:proofErr w:type="gramStart"/>
      <w:r>
        <w:t xml:space="preserve">geological,   </w:t>
      </w:r>
      <w:proofErr w:type="spellStart"/>
      <w:proofErr w:type="gramEnd"/>
      <w:r>
        <w:t>geomorfological</w:t>
      </w:r>
      <w:proofErr w:type="spellEnd"/>
      <w:r>
        <w:t xml:space="preserve">,  </w:t>
      </w:r>
      <w:proofErr w:type="spellStart"/>
      <w:r>
        <w:t>hidrographical</w:t>
      </w:r>
      <w:proofErr w:type="spellEnd"/>
      <w:r>
        <w:t xml:space="preserve">,  and  cultural  reserves,  forests  of  protection  zones.  </w:t>
      </w:r>
      <w:proofErr w:type="gramStart"/>
      <w:r>
        <w:t>Objective  of</w:t>
      </w:r>
      <w:proofErr w:type="gramEnd"/>
      <w:r>
        <w:t xml:space="preserve">  economic  activities  –  to  form  productive  forest  stands  capable  of  performing  the  functions  of  protection  of  soil,  air,  water  and  human  living  surroundings.  </w:t>
      </w:r>
    </w:p>
    <w:p w14:paraId="263C1DD9" w14:textId="77777777" w:rsidR="00066C40" w:rsidRDefault="00066C40" w:rsidP="00066C40">
      <w:pPr>
        <w:ind w:left="-5"/>
      </w:pPr>
      <w:proofErr w:type="gramStart"/>
      <w:r>
        <w:t>Group  IV</w:t>
      </w:r>
      <w:proofErr w:type="gramEnd"/>
      <w:r>
        <w:t xml:space="preserve">  –  commercial  forests,  split  into  the  following:  A  –  commercial  forests  of  normal  cutting  age.  </w:t>
      </w:r>
      <w:proofErr w:type="gramStart"/>
      <w:r>
        <w:t>Objective  of</w:t>
      </w:r>
      <w:proofErr w:type="gramEnd"/>
      <w:r>
        <w:t xml:space="preserve">   economic   activities   –   to   form   productive   forest   stands   and   supply   wood   continuously   following   the  requirements  of  environmental  protection;;  </w:t>
      </w:r>
      <w:proofErr w:type="gramStart"/>
      <w:r>
        <w:t>B  -</w:t>
      </w:r>
      <w:proofErr w:type="gramEnd"/>
      <w:r>
        <w:t xml:space="preserve">­  forest  plantations.  </w:t>
      </w:r>
      <w:proofErr w:type="gramStart"/>
      <w:r>
        <w:t>Objective  of</w:t>
      </w:r>
      <w:proofErr w:type="gramEnd"/>
      <w:r>
        <w:t xml:space="preserve">  economic  activities  –  to  grow  as  much  wood  as  possible  in  the  shortest  period  of  time.  </w:t>
      </w:r>
    </w:p>
    <w:p w14:paraId="6B51E186" w14:textId="77777777" w:rsidR="00066C40" w:rsidRDefault="00066C40" w:rsidP="00066C40">
      <w:pPr>
        <w:ind w:left="-5"/>
      </w:pPr>
      <w:proofErr w:type="gramStart"/>
      <w:r>
        <w:t>FSC  and</w:t>
      </w:r>
      <w:proofErr w:type="gramEnd"/>
      <w:r>
        <w:t xml:space="preserve">  PEFC  certificates  are  used  in  Lithuania.  </w:t>
      </w:r>
    </w:p>
    <w:p w14:paraId="3F45CDC3" w14:textId="77777777" w:rsidR="00066C40" w:rsidRDefault="00066C40" w:rsidP="00066C40">
      <w:pPr>
        <w:ind w:left="-5"/>
      </w:pPr>
      <w:proofErr w:type="gramStart"/>
      <w:r>
        <w:t>In  November</w:t>
      </w:r>
      <w:proofErr w:type="gramEnd"/>
      <w:r>
        <w:t xml:space="preserve">  2016  total  FSC  Certified  Forest  Area  in  Lithuania  was  1,085,548  hectares  and  263  Chain  of  Custody  Certificates.  (</w:t>
      </w:r>
      <w:proofErr w:type="gramStart"/>
      <w:r>
        <w:t>FSC  Facts</w:t>
      </w:r>
      <w:proofErr w:type="gramEnd"/>
      <w:r>
        <w:t xml:space="preserve">  &amp;  Figures,  November  3,  2016)  </w:t>
      </w:r>
    </w:p>
    <w:p w14:paraId="73F383E2" w14:textId="77777777" w:rsidR="00066C40" w:rsidRDefault="00066C40" w:rsidP="00066C40">
      <w:pPr>
        <w:spacing w:after="43"/>
        <w:ind w:left="-5"/>
      </w:pPr>
      <w:proofErr w:type="gramStart"/>
      <w:r>
        <w:t>In  September</w:t>
      </w:r>
      <w:proofErr w:type="gramEnd"/>
      <w:r>
        <w:t xml:space="preserve">  2016  there  were  9  PEFC  Chain  of  Custody  Certificates.  (</w:t>
      </w:r>
      <w:proofErr w:type="gramStart"/>
      <w:r>
        <w:t>PEFC  Global</w:t>
      </w:r>
      <w:proofErr w:type="gramEnd"/>
      <w:r>
        <w:t xml:space="preserve">  Statistics:  SFM  &amp;  </w:t>
      </w:r>
      <w:proofErr w:type="spellStart"/>
      <w:r>
        <w:t>CoC</w:t>
      </w:r>
      <w:proofErr w:type="spellEnd"/>
      <w:r>
        <w:t xml:space="preserve">  </w:t>
      </w:r>
    </w:p>
    <w:p w14:paraId="60177155" w14:textId="77777777" w:rsidR="00066C40" w:rsidRDefault="00066C40" w:rsidP="00066C40">
      <w:pPr>
        <w:ind w:left="-5"/>
      </w:pPr>
      <w:proofErr w:type="gramStart"/>
      <w:r>
        <w:t>Certification,  September</w:t>
      </w:r>
      <w:proofErr w:type="gramEnd"/>
      <w:r>
        <w:t xml:space="preserve">  2016).     </w:t>
      </w:r>
    </w:p>
    <w:p w14:paraId="7E63AA02" w14:textId="77777777" w:rsidR="00066C40" w:rsidRDefault="00066C40" w:rsidP="00066C40">
      <w:pPr>
        <w:ind w:left="-5"/>
      </w:pPr>
      <w:proofErr w:type="gramStart"/>
      <w:r>
        <w:t>CITES  came</w:t>
      </w:r>
      <w:proofErr w:type="gramEnd"/>
      <w:r>
        <w:t xml:space="preserve">  into  force  in  Lithuania  on  09/03/2002.  </w:t>
      </w:r>
    </w:p>
    <w:p w14:paraId="507E10A7" w14:textId="77777777" w:rsidR="00066C40" w:rsidRDefault="00066C40" w:rsidP="00066C40">
      <w:pPr>
        <w:spacing w:after="4" w:line="249" w:lineRule="auto"/>
        <w:ind w:left="-5" w:right="73"/>
      </w:pPr>
      <w:r>
        <w:rPr>
          <w:i/>
        </w:rPr>
        <w:t xml:space="preserve">Resources:    </w:t>
      </w:r>
    </w:p>
    <w:p w14:paraId="0F51AF50" w14:textId="77777777" w:rsidR="00066C40" w:rsidRDefault="00066C40" w:rsidP="00066C40">
      <w:pPr>
        <w:spacing w:after="4" w:line="249" w:lineRule="auto"/>
        <w:ind w:left="-5" w:right="73"/>
      </w:pPr>
      <w:r>
        <w:rPr>
          <w:i/>
        </w:rPr>
        <w:t xml:space="preserve">http://www.am.lt/VI/en/VI/index.php#a/759  </w:t>
      </w:r>
    </w:p>
    <w:p w14:paraId="4BBF3EF8" w14:textId="77777777" w:rsidR="00066C40" w:rsidRDefault="00066C40" w:rsidP="00066C40">
      <w:pPr>
        <w:spacing w:after="4" w:line="249" w:lineRule="auto"/>
        <w:ind w:left="-5" w:right="73"/>
      </w:pPr>
      <w:proofErr w:type="gramStart"/>
      <w:r>
        <w:rPr>
          <w:i/>
        </w:rPr>
        <w:t>PEFC  Global</w:t>
      </w:r>
      <w:proofErr w:type="gramEnd"/>
      <w:r>
        <w:rPr>
          <w:i/>
        </w:rPr>
        <w:t xml:space="preserve">  Statistics:  SFM  &amp;  </w:t>
      </w:r>
      <w:proofErr w:type="spellStart"/>
      <w:r>
        <w:rPr>
          <w:i/>
        </w:rPr>
        <w:t>CoC</w:t>
      </w:r>
      <w:proofErr w:type="spellEnd"/>
      <w:r>
        <w:rPr>
          <w:i/>
        </w:rPr>
        <w:t xml:space="preserve">  Certification,  September  2016  FSC  Facts  &amp;  Figures,  November  3,  2016  </w:t>
      </w:r>
    </w:p>
    <w:p w14:paraId="02DF7EB3" w14:textId="77777777" w:rsidR="00066C40" w:rsidRDefault="00066C40" w:rsidP="00066C40">
      <w:pPr>
        <w:spacing w:after="255" w:line="259" w:lineRule="auto"/>
      </w:pPr>
      <w:r>
        <w:t xml:space="preserve">  </w:t>
      </w:r>
    </w:p>
    <w:p w14:paraId="530C3AE5" w14:textId="77777777" w:rsidR="00066C40" w:rsidRDefault="00066C40" w:rsidP="00066C40">
      <w:pPr>
        <w:spacing w:after="260" w:line="259" w:lineRule="auto"/>
        <w:ind w:left="-5"/>
      </w:pPr>
      <w:r>
        <w:rPr>
          <w:u w:val="single" w:color="000000"/>
        </w:rPr>
        <w:t>Estonia</w:t>
      </w:r>
      <w:r>
        <w:t xml:space="preserve">  </w:t>
      </w:r>
    </w:p>
    <w:p w14:paraId="173C40EF" w14:textId="77777777" w:rsidR="00066C40" w:rsidRDefault="00066C40" w:rsidP="00066C40">
      <w:pPr>
        <w:ind w:left="-5"/>
      </w:pPr>
      <w:proofErr w:type="gramStart"/>
      <w:r>
        <w:t>Today  forests</w:t>
      </w:r>
      <w:proofErr w:type="gramEnd"/>
      <w:r>
        <w:t xml:space="preserve">  cover  around  50%  of  the  territory  of  Estonia  contributing  to  approximately  2.2  million  hectares  with  the  growing  stock  around  468  million  m3.  </w:t>
      </w:r>
      <w:proofErr w:type="gramStart"/>
      <w:r>
        <w:t>Estonia  is</w:t>
      </w:r>
      <w:proofErr w:type="gramEnd"/>
      <w:r>
        <w:t xml:space="preserve">  in  the  fifth  position  in  Europe  </w:t>
      </w:r>
      <w:r>
        <w:lastRenderedPageBreak/>
        <w:t xml:space="preserve">based  on  forest  coverage  (share  of  forestland  area  in  mainland  territory)  after  Finland,  Sweden,  Slovenia  and  Latvia.  </w:t>
      </w:r>
    </w:p>
    <w:p w14:paraId="7D93BDDA" w14:textId="77777777" w:rsidR="00066C40" w:rsidRDefault="00066C40" w:rsidP="00066C40">
      <w:pPr>
        <w:ind w:left="-5"/>
      </w:pPr>
      <w:proofErr w:type="gramStart"/>
      <w:r>
        <w:t>Estonia  lies</w:t>
      </w:r>
      <w:proofErr w:type="gramEnd"/>
      <w:r>
        <w:t xml:space="preserve">  within  the  latitude  of  59°  00’N  in  the  temperate  zone  of  the  Northern  Hemisphere.  </w:t>
      </w:r>
      <w:proofErr w:type="gramStart"/>
      <w:r>
        <w:t>Due  to</w:t>
      </w:r>
      <w:proofErr w:type="gramEnd"/>
      <w:r>
        <w:t xml:space="preserve">  moderate  maritime  climate  conditions  for  forest  growth  are  very  suitable.  </w:t>
      </w:r>
      <w:proofErr w:type="gramStart"/>
      <w:r>
        <w:t>Estonia  belongs</w:t>
      </w:r>
      <w:proofErr w:type="gramEnd"/>
      <w:r>
        <w:t xml:space="preserve">  primarily  to  the  northern  area  of   the   </w:t>
      </w:r>
      <w:proofErr w:type="spellStart"/>
      <w:r>
        <w:t>nemoral</w:t>
      </w:r>
      <w:proofErr w:type="spellEnd"/>
      <w:r>
        <w:t xml:space="preserve">-­coniferous   or   „mixed   forest”   belt.   Of   all   the   </w:t>
      </w:r>
      <w:proofErr w:type="gramStart"/>
      <w:r>
        <w:t xml:space="preserve">woodlands,   </w:t>
      </w:r>
      <w:proofErr w:type="gramEnd"/>
      <w:r>
        <w:t xml:space="preserve">51%   of   stands   are   dominated   by  deciduous   species   and   49%   by   coniferous   species   making   landscapes   very   diverse.   Without   the   </w:t>
      </w:r>
      <w:proofErr w:type="gramStart"/>
      <w:r>
        <w:t>limiting  influence</w:t>
      </w:r>
      <w:proofErr w:type="gramEnd"/>
      <w:r>
        <w:t xml:space="preserve">  of  humans  forests  would  cover  most  of  Estonia’s  mainland.  </w:t>
      </w:r>
      <w:proofErr w:type="gramStart"/>
      <w:r>
        <w:t>In  fact</w:t>
      </w:r>
      <w:proofErr w:type="gramEnd"/>
      <w:r>
        <w:t xml:space="preserve">,  3,000  years  ago  more  than  80%  of  the  mainland  was  covered  with  forests.  </w:t>
      </w:r>
      <w:proofErr w:type="gramStart"/>
      <w:r>
        <w:t>Due  to</w:t>
      </w:r>
      <w:proofErr w:type="gramEnd"/>
      <w:r>
        <w:t xml:space="preserve">  human  activity,  100  years  ago  forests  covered  only  30%  of  4.5  million  hectares  of  the  total  area  of  Estonia.  </w:t>
      </w:r>
    </w:p>
    <w:p w14:paraId="27E75AC5" w14:textId="77777777" w:rsidR="00066C40" w:rsidRDefault="00066C40" w:rsidP="00066C40">
      <w:pPr>
        <w:ind w:left="-5"/>
      </w:pPr>
      <w:proofErr w:type="gramStart"/>
      <w:r>
        <w:t>The  diversity</w:t>
      </w:r>
      <w:proofErr w:type="gramEnd"/>
      <w:r>
        <w:t xml:space="preserve">  of  forests  in  Estonia  provides  habitats  for  a  large  number  of  species.    </w:t>
      </w:r>
    </w:p>
    <w:p w14:paraId="7191F3BB" w14:textId="77777777" w:rsidR="00066C40" w:rsidRDefault="00066C40" w:rsidP="00066C40">
      <w:pPr>
        <w:spacing w:after="0" w:line="319" w:lineRule="auto"/>
        <w:ind w:left="-5" w:right="-11"/>
        <w:jc w:val="both"/>
      </w:pPr>
      <w:r>
        <w:t xml:space="preserve">“Estonian   Forestry   Development   Program   until   </w:t>
      </w:r>
      <w:proofErr w:type="gramStart"/>
      <w:r>
        <w:t xml:space="preserve">2020”   </w:t>
      </w:r>
      <w:proofErr w:type="gramEnd"/>
      <w:r>
        <w:t xml:space="preserve">is   the   framework   document   for   the   development   of  forestry  in  the  current  decade.  </w:t>
      </w:r>
      <w:proofErr w:type="gramStart"/>
      <w:r>
        <w:t>The  principal</w:t>
      </w:r>
      <w:proofErr w:type="gramEnd"/>
      <w:r>
        <w:t xml:space="preserve">  goals  are  to  safeguard  the  productivity  and  viability  of  forests  and  ensure  the  varied  and  effective  use  of  forests.  </w:t>
      </w:r>
      <w:proofErr w:type="gramStart"/>
      <w:r>
        <w:t>In  order</w:t>
      </w:r>
      <w:proofErr w:type="gramEnd"/>
      <w:r>
        <w:t xml:space="preserve">  to  achieve  these  aims,  it  is  important  to  procure  wood  in  the  amount  of  the  increment,  to  increase  the  volume  of  reforestation,  to  keep  at  least  10%  of  forestland  area  under  strict  protection  and  to  enhance  the  variety  of  protected  forests.  </w:t>
      </w:r>
      <w:proofErr w:type="gramStart"/>
      <w:r>
        <w:t>The  share</w:t>
      </w:r>
      <w:proofErr w:type="gramEnd"/>
      <w:r>
        <w:t xml:space="preserve">  of  strictly  protected  forests  in  the  total  area  of  forests  was  10%  already  in  2010,  but  further  efforts  are  required  to  ensure  that  a  variety  of  forests   are   represented   in   the   strictly   protected   areas.   (Statistical   Yearbook   of   Estonia   2014   –   Statistics  </w:t>
      </w:r>
    </w:p>
    <w:p w14:paraId="074047AC" w14:textId="77777777" w:rsidR="00066C40" w:rsidRDefault="00066C40" w:rsidP="00066C40">
      <w:pPr>
        <w:ind w:left="-5"/>
      </w:pPr>
      <w:proofErr w:type="gramStart"/>
      <w:r>
        <w:t>Estonia)  Private</w:t>
      </w:r>
      <w:proofErr w:type="gramEnd"/>
      <w:r>
        <w:t xml:space="preserve">  forest  owners  manage  around  1.01  million  ha  (47%)  of  forest  land  in  Estonia  with  the  growing  stock  of  around  275  million  m3.    </w:t>
      </w:r>
    </w:p>
    <w:p w14:paraId="480A32FA" w14:textId="77777777" w:rsidR="00066C40" w:rsidRDefault="00066C40" w:rsidP="00066C40">
      <w:pPr>
        <w:ind w:left="-5"/>
      </w:pPr>
      <w:r>
        <w:t>40</w:t>
      </w:r>
      <w:proofErr w:type="gramStart"/>
      <w:r>
        <w:t>%  of</w:t>
      </w:r>
      <w:proofErr w:type="gramEnd"/>
      <w:r>
        <w:t xml:space="preserve">  the  forests  of  Estonia  belong  to  the  state.  </w:t>
      </w:r>
      <w:proofErr w:type="gramStart"/>
      <w:r>
        <w:t>These  forests</w:t>
      </w:r>
      <w:proofErr w:type="gramEnd"/>
      <w:r>
        <w:t xml:space="preserve">  are  maintained,  grown  and  managed  by  the  State  Forest  Management  Centre  (RMK).  </w:t>
      </w:r>
    </w:p>
    <w:p w14:paraId="4A528214" w14:textId="77777777" w:rsidR="00066C40" w:rsidRDefault="00066C40" w:rsidP="00066C40">
      <w:pPr>
        <w:ind w:left="-5"/>
      </w:pPr>
      <w:proofErr w:type="gramStart"/>
      <w:r>
        <w:t>FSC  and</w:t>
      </w:r>
      <w:proofErr w:type="gramEnd"/>
      <w:r>
        <w:t xml:space="preserve">  PEFC  certificates  are  used  in  Estonia.  </w:t>
      </w:r>
    </w:p>
    <w:p w14:paraId="5A550A43" w14:textId="77777777" w:rsidR="00066C40" w:rsidRDefault="00066C40" w:rsidP="00066C40">
      <w:pPr>
        <w:ind w:left="-5"/>
      </w:pPr>
      <w:proofErr w:type="gramStart"/>
      <w:r>
        <w:t>In  September</w:t>
      </w:r>
      <w:proofErr w:type="gramEnd"/>
      <w:r>
        <w:t xml:space="preserve">  2016  total  PEFC  Certified  Forest  Area  in  Estonia  was  1,131,711  hectares  and  59  Chain  of  Custody  Certificates.  (</w:t>
      </w:r>
      <w:proofErr w:type="gramStart"/>
      <w:r>
        <w:t>PEFC  Global</w:t>
      </w:r>
      <w:proofErr w:type="gramEnd"/>
      <w:r>
        <w:t xml:space="preserve">  Statistics:  SFM  &amp;  </w:t>
      </w:r>
      <w:proofErr w:type="spellStart"/>
      <w:r>
        <w:t>CoC</w:t>
      </w:r>
      <w:proofErr w:type="spellEnd"/>
      <w:r>
        <w:t xml:space="preserve">  Certification,  September  2016).  </w:t>
      </w:r>
      <w:r>
        <w:tab/>
        <w:t xml:space="preserve">  </w:t>
      </w:r>
    </w:p>
    <w:p w14:paraId="0B7793BF" w14:textId="77777777" w:rsidR="00066C40" w:rsidRDefault="00066C40" w:rsidP="00066C40">
      <w:pPr>
        <w:spacing w:after="48"/>
        <w:ind w:left="-5"/>
      </w:pPr>
      <w:r>
        <w:t xml:space="preserve">In   November   2016   total   FSC   Certified   Forest   Area   in   Estonia   was   1,264,503   hectares   and   242   Chain   of  </w:t>
      </w:r>
    </w:p>
    <w:p w14:paraId="056BACFB" w14:textId="77777777" w:rsidR="00066C40" w:rsidRDefault="00066C40" w:rsidP="00066C40">
      <w:pPr>
        <w:ind w:left="-5"/>
      </w:pPr>
      <w:proofErr w:type="gramStart"/>
      <w:r>
        <w:t>Custody  Certificates</w:t>
      </w:r>
      <w:proofErr w:type="gramEnd"/>
      <w:r>
        <w:t>.  (</w:t>
      </w:r>
      <w:proofErr w:type="gramStart"/>
      <w:r>
        <w:t>FSC  Facts</w:t>
      </w:r>
      <w:proofErr w:type="gramEnd"/>
      <w:r>
        <w:t xml:space="preserve">  &amp;  Figures,  November  3,  2016)  </w:t>
      </w:r>
    </w:p>
    <w:p w14:paraId="0ED7BB34" w14:textId="77777777" w:rsidR="00066C40" w:rsidRDefault="00066C40" w:rsidP="00066C40">
      <w:pPr>
        <w:ind w:left="-5"/>
      </w:pPr>
      <w:proofErr w:type="gramStart"/>
      <w:r>
        <w:t>CITES  came</w:t>
      </w:r>
      <w:proofErr w:type="gramEnd"/>
      <w:r>
        <w:t xml:space="preserve">  into  force  in  Estonia  on  20/10/1992.  </w:t>
      </w:r>
    </w:p>
    <w:p w14:paraId="05357F34" w14:textId="77777777" w:rsidR="00066C40" w:rsidRDefault="00066C40" w:rsidP="00066C40">
      <w:pPr>
        <w:spacing w:after="4" w:line="249" w:lineRule="auto"/>
        <w:ind w:left="-5" w:right="73"/>
      </w:pPr>
      <w:r>
        <w:rPr>
          <w:i/>
        </w:rPr>
        <w:t xml:space="preserve">Resources:    </w:t>
      </w:r>
    </w:p>
    <w:p w14:paraId="705DA20A" w14:textId="77777777" w:rsidR="00066C40" w:rsidRDefault="00066C40" w:rsidP="00066C40">
      <w:pPr>
        <w:spacing w:after="4" w:line="249" w:lineRule="auto"/>
        <w:ind w:left="-5" w:right="1373"/>
      </w:pPr>
      <w:r>
        <w:rPr>
          <w:i/>
          <w:color w:val="0B6E3E"/>
          <w:u w:val="single" w:color="0A6E3E"/>
        </w:rPr>
        <w:t>http://www.eramets.ee/en/forests-­in-­estonia</w:t>
      </w:r>
      <w:proofErr w:type="gramStart"/>
      <w:r>
        <w:rPr>
          <w:i/>
          <w:color w:val="0B6E3E"/>
          <w:u w:val="single" w:color="0A6E3E"/>
        </w:rPr>
        <w:t>/</w:t>
      </w:r>
      <w:r>
        <w:rPr>
          <w:i/>
        </w:rPr>
        <w:t xml:space="preserve">  https://www.rmk.ee/organisation/operating-</w:t>
      </w:r>
      <w:proofErr w:type="gramEnd"/>
      <w:r>
        <w:rPr>
          <w:i/>
        </w:rPr>
        <w:t xml:space="preserve">­areas  </w:t>
      </w:r>
    </w:p>
    <w:p w14:paraId="531E43A8" w14:textId="77777777" w:rsidR="00066C40" w:rsidRDefault="00066C40" w:rsidP="00066C40">
      <w:pPr>
        <w:spacing w:after="4" w:line="249" w:lineRule="auto"/>
        <w:ind w:left="-5" w:right="73"/>
      </w:pPr>
      <w:proofErr w:type="gramStart"/>
      <w:r>
        <w:rPr>
          <w:i/>
        </w:rPr>
        <w:t>PEFC  Global</w:t>
      </w:r>
      <w:proofErr w:type="gramEnd"/>
      <w:r>
        <w:rPr>
          <w:i/>
        </w:rPr>
        <w:t xml:space="preserve">  Statistics:  SFM  &amp;  </w:t>
      </w:r>
      <w:proofErr w:type="spellStart"/>
      <w:r>
        <w:rPr>
          <w:i/>
        </w:rPr>
        <w:t>CoC</w:t>
      </w:r>
      <w:proofErr w:type="spellEnd"/>
      <w:r>
        <w:rPr>
          <w:i/>
        </w:rPr>
        <w:t xml:space="preserve">  Certification,  September  2016  FSC  Facts  &amp;  Figures,  November  3,  2016  </w:t>
      </w:r>
    </w:p>
    <w:p w14:paraId="64A2DAE1" w14:textId="77777777" w:rsidR="00066C40" w:rsidRPr="00066C40" w:rsidRDefault="00066C40" w:rsidP="00066C40"/>
    <w:p w14:paraId="63A3B877" w14:textId="77777777" w:rsidR="00DD6D07" w:rsidRDefault="00DD6D07" w:rsidP="00DD6D07">
      <w:pPr>
        <w:pStyle w:val="Virsraksts2"/>
      </w:pPr>
      <w:bookmarkStart w:id="3" w:name="_Toc412646197"/>
      <w:bookmarkStart w:id="4" w:name="_Toc454366455"/>
      <w:r>
        <w:lastRenderedPageBreak/>
        <w:t>Actions taken to promote certification amongst feedstock supplier</w:t>
      </w:r>
      <w:bookmarkEnd w:id="3"/>
      <w:bookmarkEnd w:id="4"/>
    </w:p>
    <w:p w14:paraId="14F9CCC7" w14:textId="77777777" w:rsidR="00066C40" w:rsidRDefault="00066C40" w:rsidP="00066C40">
      <w:pPr>
        <w:spacing w:after="48"/>
        <w:ind w:left="-5"/>
      </w:pPr>
      <w:proofErr w:type="gramStart"/>
      <w:r>
        <w:t>SIA  PATA</w:t>
      </w:r>
      <w:proofErr w:type="gramEnd"/>
      <w:r>
        <w:t xml:space="preserve">  informs  suppliers  about  criteria  and  importance  of  FSC  and  PEFC  certificates.    </w:t>
      </w:r>
    </w:p>
    <w:p w14:paraId="4E31BB3E" w14:textId="07E645AE" w:rsidR="00066C40" w:rsidRDefault="00066C40" w:rsidP="00066C40">
      <w:pPr>
        <w:spacing w:after="499" w:line="321" w:lineRule="auto"/>
        <w:ind w:left="-5"/>
      </w:pPr>
      <w:proofErr w:type="gramStart"/>
      <w:r>
        <w:t>SIA  PATA</w:t>
      </w:r>
      <w:proofErr w:type="gramEnd"/>
      <w:r>
        <w:t xml:space="preserve">  also  is  informing  suppliers  about  SBP  objectives  and  requirements  and  importance  to  comply  with  them.  </w:t>
      </w:r>
    </w:p>
    <w:p w14:paraId="280BCB07" w14:textId="2C2F055D" w:rsidR="00441BA4" w:rsidRDefault="00980399" w:rsidP="00066C40">
      <w:pPr>
        <w:spacing w:after="499" w:line="321" w:lineRule="auto"/>
        <w:ind w:left="-5"/>
      </w:pPr>
      <w:r>
        <w:t>Feedstocks</w:t>
      </w:r>
      <w:r w:rsidRPr="00980399">
        <w:t xml:space="preserve"> for biomass production are supplied from</w:t>
      </w:r>
      <w:r>
        <w:t xml:space="preserve"> Latvian State Forests (FSC and PEFC certified) and small part from Latvian private forests (</w:t>
      </w:r>
      <w:proofErr w:type="spellStart"/>
      <w:r>
        <w:t>non certified</w:t>
      </w:r>
      <w:proofErr w:type="spellEnd"/>
      <w:r>
        <w:t>). The main part of feedstock</w:t>
      </w:r>
      <w:r w:rsidR="00F0488C">
        <w:t>s – 83% - are FSC or PEFC certified.</w:t>
      </w:r>
    </w:p>
    <w:p w14:paraId="1AE8A618" w14:textId="6B1B64E0" w:rsidR="00DD6D07" w:rsidRPr="00360FA4" w:rsidRDefault="00DD6D07" w:rsidP="00DD6D07">
      <w:pPr>
        <w:ind w:left="567" w:hanging="567"/>
        <w:rPr>
          <w:i/>
        </w:rPr>
      </w:pPr>
      <w:r w:rsidRPr="00360FA4">
        <w:rPr>
          <w:i/>
        </w:rPr>
        <w:t>.</w:t>
      </w:r>
    </w:p>
    <w:p w14:paraId="6A3899AB" w14:textId="77777777" w:rsidR="00DD6D07" w:rsidRDefault="00DD6D07" w:rsidP="00DD6D07">
      <w:pPr>
        <w:pStyle w:val="Virsraksts2"/>
      </w:pPr>
      <w:bookmarkStart w:id="5" w:name="_Toc412646198"/>
      <w:bookmarkStart w:id="6" w:name="_Toc454366456"/>
      <w:r>
        <w:t>Final harvest sampling programme</w:t>
      </w:r>
      <w:bookmarkEnd w:id="5"/>
      <w:bookmarkEnd w:id="6"/>
    </w:p>
    <w:p w14:paraId="516A629C" w14:textId="55E3BEBA" w:rsidR="003659AA" w:rsidRDefault="003659AA" w:rsidP="003659AA">
      <w:pPr>
        <w:spacing w:after="509" w:line="367" w:lineRule="auto"/>
        <w:ind w:left="-5"/>
      </w:pPr>
      <w:bookmarkStart w:id="7" w:name="_Toc412646199"/>
      <w:bookmarkStart w:id="8" w:name="_Toc454366457"/>
      <w:proofErr w:type="gramStart"/>
      <w:r>
        <w:t>The  proportion</w:t>
      </w:r>
      <w:proofErr w:type="gramEnd"/>
      <w:r>
        <w:t xml:space="preserve">  of  final  </w:t>
      </w:r>
      <w:proofErr w:type="spellStart"/>
      <w:r>
        <w:t>fellings</w:t>
      </w:r>
      <w:proofErr w:type="spellEnd"/>
      <w:r>
        <w:t xml:space="preserve">  which  end  up  in  biomass  is  about  </w:t>
      </w:r>
      <w:r w:rsidR="00036E79">
        <w:t>80</w:t>
      </w:r>
      <w:r>
        <w:t xml:space="preserve">  %  compared  to  other  end  uses.  </w:t>
      </w:r>
      <w:proofErr w:type="gramStart"/>
      <w:r>
        <w:t>This  information</w:t>
      </w:r>
      <w:proofErr w:type="gramEnd"/>
      <w:r>
        <w:t xml:space="preserve">  is  derived  from  the  documents  and  data  submitted  by  suppliers  and  forest  developers.  </w:t>
      </w:r>
    </w:p>
    <w:p w14:paraId="077DA2E7" w14:textId="77777777" w:rsidR="00DD6D07" w:rsidRDefault="00DD6D07" w:rsidP="00DD6D07">
      <w:pPr>
        <w:pStyle w:val="Virsraksts2"/>
      </w:pPr>
      <w:r>
        <w:t>Flow diagram of feedstock inputs showing feedstock type [optional]</w:t>
      </w:r>
      <w:bookmarkEnd w:id="7"/>
      <w:bookmarkEnd w:id="8"/>
    </w:p>
    <w:p w14:paraId="7F6E6BEE" w14:textId="77777777" w:rsidR="00DD6D07" w:rsidRDefault="00DD6D07" w:rsidP="00DD6D07">
      <w:pPr>
        <w:pStyle w:val="Virsraksts2"/>
      </w:pPr>
      <w:bookmarkStart w:id="9" w:name="_Toc412646200"/>
      <w:bookmarkStart w:id="10" w:name="_Toc454366458"/>
      <w:r>
        <w:t>Quantification of the Supply Base</w:t>
      </w:r>
      <w:bookmarkEnd w:id="9"/>
      <w:bookmarkEnd w:id="10"/>
    </w:p>
    <w:p w14:paraId="62A76104" w14:textId="77777777" w:rsidR="003659AA" w:rsidRDefault="003659AA" w:rsidP="003659AA">
      <w:pPr>
        <w:spacing w:after="1" w:line="259" w:lineRule="auto"/>
        <w:ind w:left="-5"/>
      </w:pPr>
      <w:r>
        <w:rPr>
          <w:rFonts w:ascii="Georgia" w:eastAsia="Georgia" w:hAnsi="Georgia" w:cs="Georgia"/>
          <w:color w:val="91BDA9"/>
          <w:sz w:val="28"/>
        </w:rPr>
        <w:t xml:space="preserve">Supply Base </w:t>
      </w:r>
    </w:p>
    <w:p w14:paraId="4A41CA5E" w14:textId="77777777" w:rsidR="003659AA" w:rsidRDefault="003659AA" w:rsidP="003659AA">
      <w:pPr>
        <w:numPr>
          <w:ilvl w:val="0"/>
          <w:numId w:val="18"/>
        </w:numPr>
        <w:spacing w:after="54" w:line="265" w:lineRule="auto"/>
        <w:ind w:hanging="360"/>
      </w:pPr>
      <w:proofErr w:type="gramStart"/>
      <w:r>
        <w:t>Total  Supply</w:t>
      </w:r>
      <w:proofErr w:type="gramEnd"/>
      <w:r>
        <w:t xml:space="preserve">  Base  area  (ha):  </w:t>
      </w:r>
      <w:r>
        <w:rPr>
          <w:b/>
        </w:rPr>
        <w:t>7.45  million  ha</w:t>
      </w:r>
      <w:r>
        <w:t xml:space="preserve">  </w:t>
      </w:r>
    </w:p>
    <w:p w14:paraId="58FD51E9" w14:textId="77777777" w:rsidR="003659AA" w:rsidRDefault="003659AA" w:rsidP="003659AA">
      <w:pPr>
        <w:numPr>
          <w:ilvl w:val="0"/>
          <w:numId w:val="18"/>
        </w:numPr>
        <w:spacing w:after="3" w:line="259" w:lineRule="auto"/>
        <w:ind w:hanging="360"/>
      </w:pPr>
      <w:proofErr w:type="gramStart"/>
      <w:r>
        <w:t>Tenure  by</w:t>
      </w:r>
      <w:proofErr w:type="gramEnd"/>
      <w:r>
        <w:t xml:space="preserve">  type  (ha):  </w:t>
      </w:r>
      <w:r>
        <w:rPr>
          <w:b/>
        </w:rPr>
        <w:t xml:space="preserve">3.47  million  ha  state  owned;;  </w:t>
      </w:r>
      <w:proofErr w:type="gramStart"/>
      <w:r>
        <w:rPr>
          <w:b/>
        </w:rPr>
        <w:t>3.45  million</w:t>
      </w:r>
      <w:proofErr w:type="gramEnd"/>
      <w:r>
        <w:rPr>
          <w:b/>
        </w:rPr>
        <w:t xml:space="preserve">  ha  privately  owned;;  </w:t>
      </w:r>
      <w:proofErr w:type="gramStart"/>
      <w:r>
        <w:rPr>
          <w:b/>
        </w:rPr>
        <w:t>0.53  -</w:t>
      </w:r>
      <w:proofErr w:type="gramEnd"/>
      <w:r>
        <w:rPr>
          <w:b/>
        </w:rPr>
        <w:t xml:space="preserve">­  other    </w:t>
      </w:r>
    </w:p>
    <w:p w14:paraId="093C48B7" w14:textId="77777777" w:rsidR="003659AA" w:rsidRDefault="003659AA" w:rsidP="003659AA">
      <w:pPr>
        <w:numPr>
          <w:ilvl w:val="0"/>
          <w:numId w:val="18"/>
        </w:numPr>
        <w:spacing w:after="54" w:line="265" w:lineRule="auto"/>
        <w:ind w:hanging="360"/>
      </w:pPr>
      <w:proofErr w:type="gramStart"/>
      <w:r>
        <w:t>Forest  by</w:t>
      </w:r>
      <w:proofErr w:type="gramEnd"/>
      <w:r>
        <w:t xml:space="preserve">  type  (ha):  </w:t>
      </w:r>
      <w:r>
        <w:rPr>
          <w:b/>
        </w:rPr>
        <w:t>boreal forest</w:t>
      </w:r>
      <w:r>
        <w:t xml:space="preserve">  </w:t>
      </w:r>
    </w:p>
    <w:p w14:paraId="68BE4BA0" w14:textId="12B0BCA6" w:rsidR="003659AA" w:rsidRDefault="003659AA" w:rsidP="003659AA">
      <w:pPr>
        <w:numPr>
          <w:ilvl w:val="0"/>
          <w:numId w:val="18"/>
        </w:numPr>
        <w:spacing w:after="59" w:line="259" w:lineRule="auto"/>
        <w:ind w:hanging="360"/>
      </w:pPr>
      <w:proofErr w:type="gramStart"/>
      <w:r>
        <w:t>Forest  by</w:t>
      </w:r>
      <w:proofErr w:type="gramEnd"/>
      <w:r>
        <w:t xml:space="preserve">  management  type  (ha):  </w:t>
      </w:r>
      <w:r>
        <w:rPr>
          <w:b/>
        </w:rPr>
        <w:t xml:space="preserve">Managed natural  forests 7.45  million  ha  </w:t>
      </w:r>
    </w:p>
    <w:p w14:paraId="67682D56" w14:textId="77777777" w:rsidR="003659AA" w:rsidRDefault="003659AA" w:rsidP="003659AA">
      <w:pPr>
        <w:numPr>
          <w:ilvl w:val="0"/>
          <w:numId w:val="18"/>
        </w:numPr>
        <w:spacing w:after="267" w:line="322" w:lineRule="auto"/>
        <w:ind w:hanging="360"/>
      </w:pPr>
      <w:proofErr w:type="gramStart"/>
      <w:r>
        <w:t>Certified  forest</w:t>
      </w:r>
      <w:proofErr w:type="gramEnd"/>
      <w:r>
        <w:t xml:space="preserve">  by  scheme  (ha):  </w:t>
      </w:r>
      <w:r>
        <w:rPr>
          <w:b/>
        </w:rPr>
        <w:t xml:space="preserve">3.65  million  ha  FSC-­certified  forest  /    2.82  million  ha  PEFC-­certified  forest  </w:t>
      </w:r>
    </w:p>
    <w:p w14:paraId="75E47AD1" w14:textId="5E7A6854" w:rsidR="00DD6D07" w:rsidRPr="009813C7" w:rsidRDefault="00DD6D07" w:rsidP="00DD6D07">
      <w:pPr>
        <w:pStyle w:val="Virsraksts5"/>
        <w:rPr>
          <w:sz w:val="28"/>
          <w:szCs w:val="28"/>
        </w:rPr>
      </w:pPr>
      <w:r w:rsidRPr="009813C7">
        <w:rPr>
          <w:sz w:val="28"/>
          <w:szCs w:val="28"/>
        </w:rPr>
        <w:t>Feedstock</w:t>
      </w:r>
    </w:p>
    <w:p w14:paraId="59489404" w14:textId="37716718" w:rsidR="00DD6D07" w:rsidRDefault="00DD6D07" w:rsidP="00C5569B">
      <w:pPr>
        <w:pStyle w:val="Sarakstarindkopa"/>
        <w:numPr>
          <w:ilvl w:val="0"/>
          <w:numId w:val="18"/>
        </w:numPr>
      </w:pPr>
      <w:r>
        <w:t xml:space="preserve">Total volume of Feedstock: </w:t>
      </w:r>
      <w:proofErr w:type="gramStart"/>
      <w:r w:rsidR="00C61C4F" w:rsidRPr="002C0E3B">
        <w:rPr>
          <w:b/>
        </w:rPr>
        <w:t>0  –</w:t>
      </w:r>
      <w:proofErr w:type="gramEnd"/>
      <w:r w:rsidR="00C61C4F" w:rsidRPr="002C0E3B">
        <w:rPr>
          <w:b/>
        </w:rPr>
        <w:t xml:space="preserve">  200,000  m3  round  wood</w:t>
      </w:r>
      <w:r w:rsidR="00C61C4F">
        <w:t xml:space="preserve">  </w:t>
      </w:r>
    </w:p>
    <w:p w14:paraId="50635377" w14:textId="69A136AF" w:rsidR="00DD6D07" w:rsidRDefault="00DD6D07" w:rsidP="00C5569B">
      <w:pPr>
        <w:pStyle w:val="Sarakstarindkopa"/>
        <w:numPr>
          <w:ilvl w:val="0"/>
          <w:numId w:val="18"/>
        </w:numPr>
      </w:pPr>
      <w:r>
        <w:t xml:space="preserve">Volume of primary feedstock: </w:t>
      </w:r>
      <w:proofErr w:type="gramStart"/>
      <w:r w:rsidR="00C61C4F" w:rsidRPr="002C0E3B">
        <w:rPr>
          <w:b/>
        </w:rPr>
        <w:t>0  –</w:t>
      </w:r>
      <w:proofErr w:type="gramEnd"/>
      <w:r w:rsidR="00C61C4F" w:rsidRPr="002C0E3B">
        <w:rPr>
          <w:b/>
        </w:rPr>
        <w:t xml:space="preserve">  200,000  m3  round  wood</w:t>
      </w:r>
      <w:r w:rsidR="00C61C4F">
        <w:t xml:space="preserve">  </w:t>
      </w:r>
    </w:p>
    <w:p w14:paraId="0D85D94B" w14:textId="196E4283" w:rsidR="00DD6D07" w:rsidRDefault="00DD6D07" w:rsidP="00C5569B">
      <w:pPr>
        <w:pStyle w:val="Sarakstarindkopa"/>
        <w:numPr>
          <w:ilvl w:val="0"/>
          <w:numId w:val="18"/>
        </w:numPr>
      </w:pPr>
      <w:r>
        <w:t>List percentage of primary feedstock (g), by the following categories</w:t>
      </w:r>
      <w:r w:rsidR="00C61C4F">
        <w:t>:</w:t>
      </w:r>
      <w:r w:rsidR="007E1465">
        <w:t xml:space="preserve"> </w:t>
      </w:r>
    </w:p>
    <w:p w14:paraId="62EDDCA6" w14:textId="3D1A15A6" w:rsidR="00DD6D07" w:rsidRDefault="00DD6D07" w:rsidP="00C5569B">
      <w:pPr>
        <w:pStyle w:val="Sarakstarindkopa"/>
        <w:numPr>
          <w:ilvl w:val="1"/>
          <w:numId w:val="18"/>
        </w:numPr>
      </w:pPr>
      <w:r>
        <w:t>Certified to an SBP-approved Forest Management Scheme</w:t>
      </w:r>
      <w:r w:rsidR="00C61C4F">
        <w:t xml:space="preserve">   </w:t>
      </w:r>
      <w:r w:rsidR="00C61C4F" w:rsidRPr="00C61C4F">
        <w:rPr>
          <w:b/>
          <w:bCs/>
        </w:rPr>
        <w:t>80-100%</w:t>
      </w:r>
    </w:p>
    <w:p w14:paraId="5A36B44E" w14:textId="4D266B15" w:rsidR="00DD6D07" w:rsidRDefault="00DD6D07" w:rsidP="00C5569B">
      <w:pPr>
        <w:pStyle w:val="Sarakstarindkopa"/>
        <w:numPr>
          <w:ilvl w:val="1"/>
          <w:numId w:val="18"/>
        </w:numPr>
      </w:pPr>
      <w:r>
        <w:t>Not certified to an SBP-approved Forest Management Scheme</w:t>
      </w:r>
      <w:r w:rsidR="00C61C4F">
        <w:t xml:space="preserve">   </w:t>
      </w:r>
      <w:r w:rsidR="00C61C4F" w:rsidRPr="00C61C4F">
        <w:rPr>
          <w:b/>
          <w:bCs/>
        </w:rPr>
        <w:t>0-</w:t>
      </w:r>
      <w:r w:rsidR="00C5569B">
        <w:rPr>
          <w:b/>
          <w:bCs/>
        </w:rPr>
        <w:t>19</w:t>
      </w:r>
      <w:r w:rsidR="00C61C4F" w:rsidRPr="00C61C4F">
        <w:rPr>
          <w:b/>
          <w:bCs/>
        </w:rPr>
        <w:t>%</w:t>
      </w:r>
    </w:p>
    <w:p w14:paraId="7FAFF2AB" w14:textId="203C9F24" w:rsidR="00DD6D07" w:rsidRDefault="00DD6D07" w:rsidP="00C5569B">
      <w:pPr>
        <w:pStyle w:val="Sarakstarindkopa"/>
        <w:numPr>
          <w:ilvl w:val="0"/>
          <w:numId w:val="18"/>
        </w:numPr>
      </w:pPr>
      <w:r>
        <w:lastRenderedPageBreak/>
        <w:t>List all species in primary feedstock</w:t>
      </w:r>
      <w:r w:rsidR="001D5D61">
        <w:t xml:space="preserve"> - </w:t>
      </w:r>
      <w:proofErr w:type="gramStart"/>
      <w:r w:rsidR="001D5D61">
        <w:rPr>
          <w:b/>
        </w:rPr>
        <w:t>Birch  (</w:t>
      </w:r>
      <w:proofErr w:type="gramEnd"/>
      <w:r w:rsidR="001D5D61">
        <w:rPr>
          <w:b/>
        </w:rPr>
        <w:t xml:space="preserve">Betula  pendula, Betula </w:t>
      </w:r>
      <w:proofErr w:type="spellStart"/>
      <w:r w:rsidR="001D5D61">
        <w:rPr>
          <w:b/>
        </w:rPr>
        <w:t>pubescens</w:t>
      </w:r>
      <w:proofErr w:type="spellEnd"/>
      <w:r w:rsidR="001D5D61">
        <w:rPr>
          <w:b/>
        </w:rPr>
        <w:t>),  Spruce  (</w:t>
      </w:r>
      <w:proofErr w:type="spellStart"/>
      <w:r w:rsidR="001D5D61">
        <w:rPr>
          <w:b/>
        </w:rPr>
        <w:t>Picea</w:t>
      </w:r>
      <w:proofErr w:type="spellEnd"/>
      <w:r w:rsidR="001D5D61">
        <w:rPr>
          <w:b/>
        </w:rPr>
        <w:t xml:space="preserve">  </w:t>
      </w:r>
      <w:proofErr w:type="spellStart"/>
      <w:r w:rsidR="001D5D61">
        <w:rPr>
          <w:b/>
        </w:rPr>
        <w:t>abies</w:t>
      </w:r>
      <w:proofErr w:type="spellEnd"/>
      <w:r w:rsidR="001D5D61">
        <w:rPr>
          <w:b/>
        </w:rPr>
        <w:t xml:space="preserve">),  Pine  (Pinus  </w:t>
      </w:r>
      <w:proofErr w:type="spellStart"/>
      <w:r w:rsidR="001D5D61">
        <w:rPr>
          <w:b/>
        </w:rPr>
        <w:t>sylvestris</w:t>
      </w:r>
      <w:proofErr w:type="spellEnd"/>
      <w:r w:rsidR="001D5D61">
        <w:rPr>
          <w:b/>
        </w:rPr>
        <w:t>),  White alder  (</w:t>
      </w:r>
      <w:proofErr w:type="spellStart"/>
      <w:r w:rsidR="001D5D61">
        <w:rPr>
          <w:b/>
        </w:rPr>
        <w:t>Alnus</w:t>
      </w:r>
      <w:proofErr w:type="spellEnd"/>
      <w:r w:rsidR="001D5D61">
        <w:rPr>
          <w:b/>
        </w:rPr>
        <w:t xml:space="preserve"> </w:t>
      </w:r>
      <w:proofErr w:type="spellStart"/>
      <w:r w:rsidR="001D5D61">
        <w:rPr>
          <w:b/>
        </w:rPr>
        <w:t>incana</w:t>
      </w:r>
      <w:proofErr w:type="spellEnd"/>
      <w:r w:rsidR="001D5D61">
        <w:rPr>
          <w:b/>
        </w:rPr>
        <w:t>),  Black alder (</w:t>
      </w:r>
      <w:proofErr w:type="spellStart"/>
      <w:r w:rsidR="001D5D61">
        <w:rPr>
          <w:b/>
        </w:rPr>
        <w:t>Alnus</w:t>
      </w:r>
      <w:proofErr w:type="spellEnd"/>
      <w:r w:rsidR="001D5D61">
        <w:rPr>
          <w:b/>
        </w:rPr>
        <w:t xml:space="preserve"> </w:t>
      </w:r>
      <w:proofErr w:type="spellStart"/>
      <w:r w:rsidR="001D5D61">
        <w:rPr>
          <w:b/>
        </w:rPr>
        <w:t>glutinosa</w:t>
      </w:r>
      <w:proofErr w:type="spellEnd"/>
      <w:r w:rsidR="001D5D61">
        <w:rPr>
          <w:b/>
        </w:rPr>
        <w:t>), Aspen  (</w:t>
      </w:r>
      <w:proofErr w:type="spellStart"/>
      <w:r w:rsidR="001D5D61">
        <w:rPr>
          <w:b/>
        </w:rPr>
        <w:t>Populus</w:t>
      </w:r>
      <w:proofErr w:type="spellEnd"/>
      <w:r w:rsidR="001D5D61">
        <w:rPr>
          <w:b/>
        </w:rPr>
        <w:t xml:space="preserve"> </w:t>
      </w:r>
      <w:proofErr w:type="spellStart"/>
      <w:r w:rsidR="001D5D61">
        <w:rPr>
          <w:b/>
        </w:rPr>
        <w:t>tremula</w:t>
      </w:r>
      <w:proofErr w:type="spellEnd"/>
      <w:r w:rsidR="001D5D61">
        <w:rPr>
          <w:b/>
        </w:rPr>
        <w:t>)</w:t>
      </w:r>
      <w:r w:rsidR="001D5D61">
        <w:rPr>
          <w:b/>
          <w:color w:val="FF0000"/>
        </w:rPr>
        <w:t xml:space="preserve">  </w:t>
      </w:r>
    </w:p>
    <w:p w14:paraId="1BFD7E43" w14:textId="0F279F3D" w:rsidR="00DD6D07" w:rsidRDefault="00DD6D07" w:rsidP="00C5569B">
      <w:pPr>
        <w:pStyle w:val="Sarakstarindkopa"/>
        <w:numPr>
          <w:ilvl w:val="0"/>
          <w:numId w:val="18"/>
        </w:numPr>
      </w:pPr>
      <w:r>
        <w:t>Volume of primary feedstock from primary forest</w:t>
      </w:r>
      <w:r w:rsidR="001D5D61">
        <w:t xml:space="preserve"> - </w:t>
      </w:r>
      <w:r w:rsidR="001D5D61" w:rsidRPr="001D5D61">
        <w:rPr>
          <w:b/>
          <w:bCs/>
        </w:rPr>
        <w:t>0 m3</w:t>
      </w:r>
    </w:p>
    <w:p w14:paraId="66E198CB" w14:textId="77777777" w:rsidR="00DD6D07" w:rsidRDefault="00DD6D07" w:rsidP="00C5569B">
      <w:pPr>
        <w:pStyle w:val="Sarakstarindkopa"/>
        <w:numPr>
          <w:ilvl w:val="0"/>
          <w:numId w:val="18"/>
        </w:numPr>
      </w:pPr>
      <w:r>
        <w:t>List percentage of primary feedstock from primary forest (j), by the following categories. Subdivide by SBP-approved Forest Management Schemes:</w:t>
      </w:r>
    </w:p>
    <w:p w14:paraId="77AF9662" w14:textId="66E2366E" w:rsidR="00DD6D07" w:rsidRDefault="00DD6D07" w:rsidP="00C5569B">
      <w:pPr>
        <w:pStyle w:val="Sarakstarindkopa"/>
        <w:numPr>
          <w:ilvl w:val="1"/>
          <w:numId w:val="18"/>
        </w:numPr>
      </w:pPr>
      <w:r>
        <w:t>Primary feedstock from primary forest certified to an SBP-approved Forest Management Scheme</w:t>
      </w:r>
      <w:r w:rsidR="001D5D61">
        <w:t xml:space="preserve"> – </w:t>
      </w:r>
      <w:r w:rsidR="001D5D61" w:rsidRPr="001D5D61">
        <w:rPr>
          <w:b/>
          <w:bCs/>
        </w:rPr>
        <w:t>0 m3</w:t>
      </w:r>
    </w:p>
    <w:p w14:paraId="26292A5C" w14:textId="7EA1C294" w:rsidR="00DD6D07" w:rsidRDefault="00DD6D07" w:rsidP="00C5569B">
      <w:pPr>
        <w:pStyle w:val="Sarakstarindkopa"/>
        <w:numPr>
          <w:ilvl w:val="1"/>
          <w:numId w:val="18"/>
        </w:numPr>
      </w:pPr>
      <w:r>
        <w:t>Primary feedstock from primary forest not certified to an SBP-approved Forest Management Scheme</w:t>
      </w:r>
      <w:r w:rsidR="001D5D61">
        <w:t xml:space="preserve"> – </w:t>
      </w:r>
      <w:r w:rsidR="001D5D61" w:rsidRPr="001D5D61">
        <w:rPr>
          <w:b/>
          <w:bCs/>
        </w:rPr>
        <w:t>0 m3</w:t>
      </w:r>
    </w:p>
    <w:p w14:paraId="144ACF89" w14:textId="64D715CA" w:rsidR="00DD6D07" w:rsidRDefault="00DD6D07" w:rsidP="00C5569B">
      <w:pPr>
        <w:pStyle w:val="Sarakstarindkopa"/>
        <w:numPr>
          <w:ilvl w:val="0"/>
          <w:numId w:val="18"/>
        </w:numPr>
      </w:pPr>
      <w:r>
        <w:t xml:space="preserve">Volume of secondary feedstock: specify origin and type </w:t>
      </w:r>
      <w:r w:rsidR="001D5D61">
        <w:t>–</w:t>
      </w:r>
      <w:r w:rsidRPr="00B017F7">
        <w:t xml:space="preserve"> </w:t>
      </w:r>
      <w:r w:rsidR="001D5D61" w:rsidRPr="001D5D61">
        <w:rPr>
          <w:b/>
          <w:bCs/>
        </w:rPr>
        <w:t xml:space="preserve">0 </w:t>
      </w:r>
      <w:r w:rsidR="00C5569B">
        <w:rPr>
          <w:b/>
          <w:bCs/>
        </w:rPr>
        <w:t>%</w:t>
      </w:r>
      <w:r w:rsidR="001D5D61">
        <w:t>.</w:t>
      </w:r>
    </w:p>
    <w:p w14:paraId="001E1131" w14:textId="40B95919" w:rsidR="00DD6D07" w:rsidRDefault="00DD6D07" w:rsidP="00C5569B">
      <w:pPr>
        <w:pStyle w:val="Sarakstarindkopa"/>
        <w:numPr>
          <w:ilvl w:val="0"/>
          <w:numId w:val="18"/>
        </w:numPr>
      </w:pPr>
      <w:r>
        <w:t xml:space="preserve">Volume of tertiary feedstock: specify origin and composition </w:t>
      </w:r>
      <w:r w:rsidR="00C5569B">
        <w:t>–</w:t>
      </w:r>
      <w:r w:rsidRPr="00B017F7">
        <w:t xml:space="preserve"> </w:t>
      </w:r>
      <w:r w:rsidR="00C5569B" w:rsidRPr="00C5569B">
        <w:rPr>
          <w:b/>
          <w:bCs/>
        </w:rPr>
        <w:t xml:space="preserve">0 </w:t>
      </w:r>
      <w:r w:rsidR="00C5569B">
        <w:rPr>
          <w:b/>
          <w:bCs/>
        </w:rPr>
        <w:t>%</w:t>
      </w:r>
      <w:r w:rsidR="00C5569B">
        <w:t>.</w:t>
      </w:r>
    </w:p>
    <w:p w14:paraId="620F6AF7" w14:textId="5BDEC11A" w:rsidR="00C5569B" w:rsidRDefault="00C5569B" w:rsidP="00C5569B">
      <w:pPr>
        <w:pStyle w:val="Sarakstarindkopa"/>
        <w:numPr>
          <w:ilvl w:val="0"/>
          <w:numId w:val="0"/>
        </w:numPr>
        <w:ind w:left="360"/>
      </w:pPr>
    </w:p>
    <w:p w14:paraId="0131B679" w14:textId="77777777" w:rsidR="00A5000C" w:rsidRDefault="00A5000C" w:rsidP="00A5000C">
      <w:pPr>
        <w:spacing w:after="248" w:line="259" w:lineRule="auto"/>
        <w:ind w:left="370"/>
        <w:jc w:val="both"/>
      </w:pPr>
      <w:proofErr w:type="gramStart"/>
      <w:r>
        <w:rPr>
          <w:b/>
        </w:rPr>
        <w:t>SIA  PATA</w:t>
      </w:r>
      <w:proofErr w:type="gramEnd"/>
      <w:r>
        <w:rPr>
          <w:b/>
        </w:rPr>
        <w:t xml:space="preserve">  choose  to  show  interval  because  of commercial sensitivity of data.  </w:t>
      </w:r>
    </w:p>
    <w:p w14:paraId="0CC6160E" w14:textId="77777777" w:rsidR="00DD6D07" w:rsidRDefault="00DD6D07" w:rsidP="00DD6D07">
      <w:pPr>
        <w:pStyle w:val="Virsraksts1"/>
      </w:pPr>
      <w:bookmarkStart w:id="11" w:name="_Toc397674999"/>
      <w:bookmarkStart w:id="12" w:name="_Toc412646201"/>
      <w:bookmarkStart w:id="13" w:name="_Toc454366459"/>
      <w:r>
        <w:lastRenderedPageBreak/>
        <w:t>Requirement for a Supply Base Evaluation</w:t>
      </w:r>
      <w:bookmarkEnd w:id="11"/>
      <w:bookmarkEnd w:id="12"/>
      <w:bookmarkEnd w:id="13"/>
    </w:p>
    <w:tbl>
      <w:tblPr>
        <w:tblStyle w:val="Reatabula"/>
        <w:tblW w:w="0" w:type="auto"/>
        <w:tblInd w:w="170" w:type="dxa"/>
        <w:tblLook w:val="04A0" w:firstRow="1" w:lastRow="0" w:firstColumn="1" w:lastColumn="0" w:noHBand="0" w:noVBand="1"/>
      </w:tblPr>
      <w:tblGrid>
        <w:gridCol w:w="1861"/>
        <w:gridCol w:w="1872"/>
      </w:tblGrid>
      <w:tr w:rsidR="00DD6D07" w:rsidRPr="009813C7" w14:paraId="4518A7EC" w14:textId="77777777" w:rsidTr="00400B8F">
        <w:trPr>
          <w:trHeight w:val="620"/>
        </w:trPr>
        <w:tc>
          <w:tcPr>
            <w:tcW w:w="1861" w:type="dxa"/>
            <w:shd w:val="clear" w:color="auto" w:fill="A3CAB8" w:themeFill="accent3" w:themeFillTint="99"/>
            <w:vAlign w:val="center"/>
          </w:tcPr>
          <w:p w14:paraId="2648CEAF" w14:textId="77777777" w:rsidR="00DD6D07" w:rsidRPr="009813C7" w:rsidRDefault="00DD6D07" w:rsidP="00E702AA">
            <w:pPr>
              <w:spacing w:after="200"/>
              <w:rPr>
                <w:b/>
                <w:lang w:val="en-US"/>
              </w:rPr>
            </w:pPr>
            <w:r w:rsidRPr="009813C7">
              <w:rPr>
                <w:b/>
                <w:lang w:val="en-US"/>
              </w:rPr>
              <w:t>SBE completed</w:t>
            </w:r>
          </w:p>
        </w:tc>
        <w:tc>
          <w:tcPr>
            <w:tcW w:w="1872" w:type="dxa"/>
            <w:shd w:val="clear" w:color="auto" w:fill="A3CAB8" w:themeFill="accent3" w:themeFillTint="99"/>
            <w:vAlign w:val="center"/>
          </w:tcPr>
          <w:p w14:paraId="522DE0DF" w14:textId="77777777" w:rsidR="00DD6D07" w:rsidRPr="009813C7" w:rsidRDefault="00DD6D07" w:rsidP="00E702AA">
            <w:pPr>
              <w:spacing w:after="200"/>
              <w:rPr>
                <w:b/>
                <w:lang w:val="en-US"/>
              </w:rPr>
            </w:pPr>
            <w:r w:rsidRPr="009813C7">
              <w:rPr>
                <w:b/>
                <w:lang w:val="en-US"/>
              </w:rPr>
              <w:t>SBE not completed</w:t>
            </w:r>
          </w:p>
        </w:tc>
      </w:tr>
      <w:tr w:rsidR="00DD6D07" w:rsidRPr="009813C7" w14:paraId="0F599C2D" w14:textId="77777777" w:rsidTr="00400B8F">
        <w:trPr>
          <w:trHeight w:val="710"/>
        </w:trPr>
        <w:tc>
          <w:tcPr>
            <w:tcW w:w="1861" w:type="dxa"/>
            <w:vAlign w:val="center"/>
          </w:tcPr>
          <w:p w14:paraId="5DEEEB90" w14:textId="750F0A66" w:rsidR="00DD6D07" w:rsidRPr="009813C7" w:rsidRDefault="00C5569B" w:rsidP="00E702AA">
            <w:pPr>
              <w:spacing w:after="200"/>
              <w:rPr>
                <w:b/>
                <w:lang w:val="en-US"/>
              </w:rPr>
            </w:pPr>
            <w:r>
              <w:rPr>
                <w:b/>
                <w:lang w:val="en-US"/>
              </w:rPr>
              <w:t>X</w:t>
            </w:r>
          </w:p>
        </w:tc>
        <w:tc>
          <w:tcPr>
            <w:tcW w:w="1872" w:type="dxa"/>
            <w:vAlign w:val="center"/>
          </w:tcPr>
          <w:p w14:paraId="31CFE38E" w14:textId="77777777" w:rsidR="00DD6D07" w:rsidRPr="009813C7" w:rsidRDefault="00DD6D07" w:rsidP="00E702AA">
            <w:pPr>
              <w:spacing w:after="200"/>
              <w:rPr>
                <w:b/>
                <w:lang w:val="en-US"/>
              </w:rPr>
            </w:pPr>
            <w:r w:rsidRPr="009813C7">
              <w:rPr>
                <w:rFonts w:ascii="Menlo Regular" w:hAnsi="Menlo Regular" w:cs="Menlo Regular"/>
                <w:b/>
                <w:lang w:val="en-US"/>
              </w:rPr>
              <w:t>☐</w:t>
            </w:r>
          </w:p>
        </w:tc>
      </w:tr>
    </w:tbl>
    <w:p w14:paraId="7CFD7CFD" w14:textId="305A2B6E" w:rsidR="006E104E" w:rsidRDefault="006E104E" w:rsidP="00DD6D07"/>
    <w:p w14:paraId="6AC0574A" w14:textId="77777777" w:rsidR="006E104E" w:rsidRDefault="006E104E" w:rsidP="006E104E">
      <w:pPr>
        <w:spacing w:after="260" w:line="259" w:lineRule="auto"/>
      </w:pPr>
      <w:r>
        <w:t>SBP biomass supply evaluation includes:</w:t>
      </w:r>
    </w:p>
    <w:p w14:paraId="6FE19802" w14:textId="77777777" w:rsidR="006E104E" w:rsidRDefault="006E104E" w:rsidP="006E104E">
      <w:pPr>
        <w:pStyle w:val="Sarakstarindkopa"/>
        <w:numPr>
          <w:ilvl w:val="0"/>
          <w:numId w:val="19"/>
        </w:numPr>
        <w:spacing w:after="260" w:line="259" w:lineRule="auto"/>
      </w:pPr>
      <w:r>
        <w:t>Primary wood (round wood and branches chips after logging)</w:t>
      </w:r>
    </w:p>
    <w:p w14:paraId="3C9174AC" w14:textId="77777777" w:rsidR="006E104E" w:rsidRDefault="006E104E" w:rsidP="006E104E">
      <w:pPr>
        <w:pStyle w:val="Sarakstarindkopa"/>
        <w:numPr>
          <w:ilvl w:val="0"/>
          <w:numId w:val="19"/>
        </w:numPr>
        <w:spacing w:after="260" w:line="259" w:lineRule="auto"/>
      </w:pPr>
      <w:r>
        <w:t>Wood from agricultural lands</w:t>
      </w:r>
    </w:p>
    <w:p w14:paraId="3335AC59" w14:textId="77777777" w:rsidR="006E104E" w:rsidRDefault="006E104E" w:rsidP="006E104E">
      <w:pPr>
        <w:ind w:left="-5"/>
      </w:pPr>
      <w:r>
        <w:t>SIA PATA defines the biomass received from the approved biomass production sources and supplies as a “SBP-compliant biomass”.</w:t>
      </w:r>
    </w:p>
    <w:p w14:paraId="2D219F36" w14:textId="77777777" w:rsidR="006E104E" w:rsidRDefault="006E104E" w:rsidP="006E104E">
      <w:pPr>
        <w:ind w:left="-5"/>
      </w:pPr>
      <w:r>
        <w:t>SBP-endorsed Regional Risk Assessments for Latvia, Estonia and Lithuania are used. Company has been developed inspection program for supply risk mitigation.</w:t>
      </w:r>
    </w:p>
    <w:p w14:paraId="7DE59C07" w14:textId="77777777" w:rsidR="006E104E" w:rsidRDefault="006E104E" w:rsidP="006E104E">
      <w:pPr>
        <w:ind w:left="-5"/>
      </w:pPr>
      <w:r>
        <w:t xml:space="preserve">The risk assessment is divided </w:t>
      </w:r>
      <w:proofErr w:type="gramStart"/>
      <w:r>
        <w:t>into :</w:t>
      </w:r>
      <w:proofErr w:type="gramEnd"/>
      <w:r>
        <w:t xml:space="preserve"> “low risk”, “specified risk” or “unspecified risk”.  </w:t>
      </w:r>
    </w:p>
    <w:p w14:paraId="0E40E179" w14:textId="77777777" w:rsidR="006E104E" w:rsidRDefault="006E104E" w:rsidP="00DD6D07"/>
    <w:p w14:paraId="2304E2A2" w14:textId="67DA3A96" w:rsidR="00DD6D07" w:rsidRPr="009813C7" w:rsidRDefault="00187F41" w:rsidP="00187F41">
      <w:pPr>
        <w:pStyle w:val="Virsraksts1"/>
      </w:pPr>
      <w:bookmarkStart w:id="14" w:name="_Toc454366460"/>
      <w:r>
        <w:lastRenderedPageBreak/>
        <w:t>Supply Base Evaluation</w:t>
      </w:r>
      <w:bookmarkEnd w:id="14"/>
    </w:p>
    <w:p w14:paraId="4AF97BEE" w14:textId="78A2B870" w:rsidR="00DD6D07" w:rsidRDefault="00187F41" w:rsidP="00187F41">
      <w:pPr>
        <w:pStyle w:val="Virsraksts2"/>
      </w:pPr>
      <w:bookmarkStart w:id="15" w:name="_Toc454366461"/>
      <w:r>
        <w:t>Scope</w:t>
      </w:r>
      <w:bookmarkEnd w:id="15"/>
    </w:p>
    <w:p w14:paraId="01624721" w14:textId="77777777" w:rsidR="006E104E" w:rsidRDefault="006E104E" w:rsidP="006E104E">
      <w:pPr>
        <w:spacing w:after="0" w:line="276" w:lineRule="auto"/>
        <w:ind w:left="-5"/>
      </w:pPr>
      <w:r>
        <w:t>4.1.1. Applies to   primary feedstock supplies from logging.</w:t>
      </w:r>
    </w:p>
    <w:p w14:paraId="324F727D" w14:textId="77777777" w:rsidR="006E104E" w:rsidRDefault="006E104E" w:rsidP="006E104E">
      <w:pPr>
        <w:spacing w:after="0" w:line="276" w:lineRule="auto"/>
        <w:ind w:left="-5"/>
      </w:pPr>
    </w:p>
    <w:p w14:paraId="2CE7F36A" w14:textId="77777777" w:rsidR="006E104E" w:rsidRDefault="006E104E" w:rsidP="006E104E">
      <w:pPr>
        <w:spacing w:after="0" w:line="276" w:lineRule="auto"/>
        <w:ind w:left="-5"/>
      </w:pPr>
      <w:r>
        <w:t>4.1.2. Applies to primary feedstock supplies from overgrown agricultural land areas.</w:t>
      </w:r>
    </w:p>
    <w:p w14:paraId="158A9AD3" w14:textId="77777777" w:rsidR="006E104E" w:rsidRPr="006E104E" w:rsidRDefault="006E104E" w:rsidP="006E104E"/>
    <w:p w14:paraId="5B967E99" w14:textId="2D2C3423" w:rsidR="00187F41" w:rsidRDefault="00187F41" w:rsidP="00187F41">
      <w:pPr>
        <w:pStyle w:val="Virsraksts2"/>
      </w:pPr>
      <w:bookmarkStart w:id="16" w:name="_Toc412646204"/>
      <w:bookmarkStart w:id="17" w:name="_Toc454366462"/>
      <w:r>
        <w:t>Justification</w:t>
      </w:r>
      <w:bookmarkEnd w:id="16"/>
      <w:bookmarkEnd w:id="17"/>
    </w:p>
    <w:p w14:paraId="061B883C" w14:textId="77777777" w:rsidR="006E104E" w:rsidRDefault="006E104E" w:rsidP="006E104E">
      <w:pPr>
        <w:spacing w:after="0" w:line="276" w:lineRule="auto"/>
        <w:ind w:left="-5"/>
      </w:pPr>
      <w:r>
        <w:t>SBP endorsed SBP Regional Risks Assessments have been developed in accordance with SBP standard Nr.1 version 1.0 of March 2015 and SBP standard Nr.2   version 1.0 of March 2015, assessing the risk category for each SBP indicator. Through reviewing and assessing the risk, the company acquired an in-depth understanding of the wood supply risks that could affect the acceptance of SBP non-compliant material for biomass production.</w:t>
      </w:r>
    </w:p>
    <w:p w14:paraId="69462AE1" w14:textId="77777777" w:rsidR="006E104E" w:rsidRDefault="006E104E" w:rsidP="006E104E">
      <w:pPr>
        <w:spacing w:after="0" w:line="276" w:lineRule="auto"/>
        <w:ind w:left="-5"/>
      </w:pPr>
    </w:p>
    <w:p w14:paraId="43E7E5B6" w14:textId="54B77377" w:rsidR="006E104E" w:rsidRDefault="006E104E" w:rsidP="006E104E">
      <w:pPr>
        <w:spacing w:after="0" w:line="276" w:lineRule="auto"/>
        <w:ind w:left="-5"/>
      </w:pPr>
      <w:r>
        <w:t>By introducing efficient risk mitigation measures, the company has the option to purchase SBP approved and compliant assortment to produce the required amount of “SBP compliant biomas</w:t>
      </w:r>
      <w:r w:rsidR="005218CE">
        <w:t>s</w:t>
      </w:r>
      <w:r>
        <w:t>” products.</w:t>
      </w:r>
    </w:p>
    <w:p w14:paraId="32644724" w14:textId="77777777" w:rsidR="006E104E" w:rsidRDefault="006E104E" w:rsidP="006E104E">
      <w:pPr>
        <w:spacing w:after="0" w:line="276" w:lineRule="auto"/>
        <w:ind w:left="-5"/>
      </w:pPr>
    </w:p>
    <w:p w14:paraId="4C0A099E" w14:textId="77777777" w:rsidR="006E104E" w:rsidRDefault="006E104E" w:rsidP="006E104E">
      <w:pPr>
        <w:spacing w:after="0" w:line="276" w:lineRule="auto"/>
        <w:ind w:left="-5"/>
      </w:pPr>
      <w:r>
        <w:t xml:space="preserve">SIA PATA as forest company with 20 years </w:t>
      </w:r>
      <w:proofErr w:type="spellStart"/>
      <w:r>
        <w:t>expierence</w:t>
      </w:r>
      <w:proofErr w:type="spellEnd"/>
      <w:r>
        <w:t>, integrating leading expertise in forest industry, has developed risk mitigation and control mechanism for the evaluation and confirmation of its biomass which comply with the “SBP compliant biomass” status.</w:t>
      </w:r>
    </w:p>
    <w:p w14:paraId="13D8FAD5" w14:textId="77777777" w:rsidR="006E104E" w:rsidRPr="006E104E" w:rsidRDefault="006E104E" w:rsidP="006E104E"/>
    <w:p w14:paraId="51A9424C" w14:textId="4D9EC461" w:rsidR="00187F41" w:rsidRDefault="00187F41" w:rsidP="00187F41">
      <w:pPr>
        <w:pStyle w:val="Virsraksts2"/>
      </w:pPr>
      <w:bookmarkStart w:id="18" w:name="_Toc412646205"/>
      <w:bookmarkStart w:id="19" w:name="_Toc454366463"/>
      <w:r>
        <w:t>Results of Risk Assessment</w:t>
      </w:r>
      <w:bookmarkEnd w:id="18"/>
      <w:bookmarkEnd w:id="19"/>
    </w:p>
    <w:p w14:paraId="57E60933" w14:textId="77777777" w:rsidR="006E104E" w:rsidRDefault="006E104E" w:rsidP="006E104E">
      <w:pPr>
        <w:spacing w:after="0" w:line="276" w:lineRule="auto"/>
        <w:ind w:left="-5"/>
      </w:pPr>
      <w:r>
        <w:t xml:space="preserve">Taking into account the </w:t>
      </w:r>
      <w:proofErr w:type="spellStart"/>
      <w:r>
        <w:t>specifik</w:t>
      </w:r>
      <w:proofErr w:type="spellEnd"/>
      <w:r>
        <w:t xml:space="preserve"> characters of Latvia and expert advice and recommendations, “specified risk” was applied </w:t>
      </w:r>
      <w:r w:rsidRPr="007539ED">
        <w:t xml:space="preserve">in relation </w:t>
      </w:r>
      <w:r>
        <w:t xml:space="preserve">to identification and protection </w:t>
      </w:r>
      <w:r w:rsidRPr="007539ED">
        <w:t>of EU importance and natural forest habitats, bird species, identification and protection of cultural heritage objects</w:t>
      </w:r>
      <w:r>
        <w:t xml:space="preserve"> (HCV category 3) in non-certificate forests and work safety( if work with chainsaw  in non-certificate forests).</w:t>
      </w:r>
    </w:p>
    <w:p w14:paraId="2EFBBE0C" w14:textId="77777777" w:rsidR="006E104E" w:rsidRDefault="006E104E" w:rsidP="006E104E">
      <w:pPr>
        <w:spacing w:after="0" w:line="276" w:lineRule="auto"/>
        <w:ind w:left="-5"/>
      </w:pPr>
    </w:p>
    <w:p w14:paraId="0AB6A802" w14:textId="77777777" w:rsidR="006E104E" w:rsidRDefault="006E104E" w:rsidP="006E104E">
      <w:pPr>
        <w:spacing w:after="0" w:line="276" w:lineRule="auto"/>
        <w:ind w:left="-5"/>
      </w:pPr>
      <w:r>
        <w:t>In Estonia “specified risk” was applied only to biotope protection in non-certificate private forests.</w:t>
      </w:r>
    </w:p>
    <w:p w14:paraId="1C57F972" w14:textId="77777777" w:rsidR="006E104E" w:rsidRDefault="006E104E" w:rsidP="006E104E">
      <w:pPr>
        <w:spacing w:after="0" w:line="276" w:lineRule="auto"/>
        <w:ind w:left="-5"/>
      </w:pPr>
    </w:p>
    <w:p w14:paraId="76093E09" w14:textId="77777777" w:rsidR="006E104E" w:rsidRDefault="006E104E" w:rsidP="006E104E">
      <w:pPr>
        <w:spacing w:after="0" w:line="276" w:lineRule="auto"/>
        <w:ind w:left="-5"/>
      </w:pPr>
      <w:r>
        <w:t>In Lithuania “specified risk” was applied to biotope protection and work safety in private forests.</w:t>
      </w:r>
    </w:p>
    <w:p w14:paraId="5EE09713" w14:textId="77777777" w:rsidR="006E104E" w:rsidRPr="006E104E" w:rsidRDefault="006E104E" w:rsidP="006E104E"/>
    <w:p w14:paraId="5C6E15E6" w14:textId="163A3176" w:rsidR="00187F41" w:rsidRDefault="00187F41" w:rsidP="00187F41">
      <w:pPr>
        <w:pStyle w:val="Virsraksts2"/>
      </w:pPr>
      <w:bookmarkStart w:id="20" w:name="_Toc412646206"/>
      <w:bookmarkStart w:id="21" w:name="_Toc454366464"/>
      <w:r>
        <w:t>Results of Supplier Verification Programme</w:t>
      </w:r>
      <w:bookmarkEnd w:id="20"/>
      <w:bookmarkEnd w:id="21"/>
    </w:p>
    <w:p w14:paraId="02A0D3D3" w14:textId="77777777" w:rsidR="006E104E" w:rsidRDefault="006E104E" w:rsidP="006E104E">
      <w:pPr>
        <w:spacing w:after="0" w:line="276" w:lineRule="auto"/>
        <w:ind w:left="-5"/>
      </w:pPr>
      <w:r>
        <w:t>Supplier Verification Programme does not apply in PATA case, since we did not identify “unspecified risk” in PATA Supply Base Evaluation.</w:t>
      </w:r>
    </w:p>
    <w:p w14:paraId="51884093" w14:textId="77777777" w:rsidR="006E104E" w:rsidRPr="006E104E" w:rsidRDefault="006E104E" w:rsidP="006E104E"/>
    <w:p w14:paraId="052D93C3" w14:textId="77777777" w:rsidR="00187F41" w:rsidRDefault="00187F41" w:rsidP="00187F41">
      <w:pPr>
        <w:pStyle w:val="Virsraksts2"/>
      </w:pPr>
      <w:bookmarkStart w:id="22" w:name="_Toc412646207"/>
      <w:bookmarkStart w:id="23" w:name="_Toc454366465"/>
      <w:r>
        <w:lastRenderedPageBreak/>
        <w:t>Conclusion</w:t>
      </w:r>
      <w:bookmarkEnd w:id="22"/>
      <w:bookmarkEnd w:id="23"/>
    </w:p>
    <w:p w14:paraId="74ED2ACD" w14:textId="77777777" w:rsidR="006E104E" w:rsidRDefault="006E104E" w:rsidP="006E104E">
      <w:pPr>
        <w:spacing w:after="0" w:line="276" w:lineRule="auto"/>
        <w:ind w:left="-5"/>
      </w:pPr>
      <w:r>
        <w:t xml:space="preserve">Since </w:t>
      </w:r>
      <w:proofErr w:type="spellStart"/>
      <w:r>
        <w:t>Juny</w:t>
      </w:r>
      <w:proofErr w:type="spellEnd"/>
      <w:r>
        <w:t xml:space="preserve"> 1, 2018 when the requirements of SBE </w:t>
      </w:r>
      <w:proofErr w:type="spellStart"/>
      <w:r>
        <w:t>standarts</w:t>
      </w:r>
      <w:proofErr w:type="spellEnd"/>
      <w:r>
        <w:t xml:space="preserve"> were initiated and introduced, the compliance of feedstock suppliers to specific risks was reviewed. The suppliers who are informed and competent on assessment of possible risks, but who are not certified by requirements of PEFC or FSC </w:t>
      </w:r>
      <w:proofErr w:type="spellStart"/>
      <w:r>
        <w:t>standarts</w:t>
      </w:r>
      <w:proofErr w:type="spellEnd"/>
      <w:r>
        <w:t>, are approved as SBP wood suppliers.</w:t>
      </w:r>
    </w:p>
    <w:p w14:paraId="498FDD9A" w14:textId="77777777" w:rsidR="006E104E" w:rsidRDefault="006E104E" w:rsidP="006E104E">
      <w:pPr>
        <w:spacing w:after="0" w:line="276" w:lineRule="auto"/>
        <w:ind w:left="-5"/>
      </w:pPr>
    </w:p>
    <w:p w14:paraId="2F3542C6" w14:textId="77777777" w:rsidR="006E104E" w:rsidRDefault="006E104E" w:rsidP="006E104E">
      <w:pPr>
        <w:spacing w:after="0" w:line="276" w:lineRule="auto"/>
        <w:ind w:left="-5"/>
      </w:pPr>
      <w:r>
        <w:t>The volume of FSC or PEFC certified wood is not enough to ensure that 100% of the biomass is a “SBP compliant biomass”.</w:t>
      </w:r>
    </w:p>
    <w:p w14:paraId="294F7A00" w14:textId="77777777" w:rsidR="006E104E" w:rsidRDefault="006E104E" w:rsidP="006E104E">
      <w:pPr>
        <w:spacing w:after="0" w:line="276" w:lineRule="auto"/>
        <w:ind w:left="-5"/>
      </w:pPr>
    </w:p>
    <w:p w14:paraId="69082432" w14:textId="77777777" w:rsidR="006E104E" w:rsidRDefault="006E104E" w:rsidP="006E104E">
      <w:pPr>
        <w:spacing w:after="0" w:line="276" w:lineRule="auto"/>
        <w:ind w:left="-5"/>
      </w:pPr>
      <w:r>
        <w:t xml:space="preserve">As a result of risk mitigation measures, SIA PATA has confirmed that the suppliers who logging round wood at </w:t>
      </w:r>
      <w:proofErr w:type="spellStart"/>
      <w:r>
        <w:t>self own</w:t>
      </w:r>
      <w:proofErr w:type="spellEnd"/>
      <w:r>
        <w:t xml:space="preserve"> or other own forests and hand in all requested information, can be provided risk mitigation measures and conform to SBE low-risk category at supply level.</w:t>
      </w:r>
    </w:p>
    <w:p w14:paraId="16B39034" w14:textId="77777777" w:rsidR="00187F41" w:rsidRDefault="00187F41" w:rsidP="00187F41">
      <w:pPr>
        <w:spacing w:line="276" w:lineRule="auto"/>
        <w:rPr>
          <w:rFonts w:asciiTheme="majorHAnsi" w:eastAsiaTheme="majorEastAsia" w:hAnsiTheme="majorHAnsi" w:cstheme="majorBidi"/>
          <w:bCs/>
          <w:iCs/>
          <w:color w:val="8AB059"/>
          <w:sz w:val="28"/>
          <w:szCs w:val="28"/>
        </w:rPr>
      </w:pPr>
      <w:r>
        <w:br w:type="page"/>
      </w:r>
    </w:p>
    <w:p w14:paraId="01AFD26B" w14:textId="1D4F2229" w:rsidR="00187F41" w:rsidRDefault="00187F41" w:rsidP="00187F41">
      <w:pPr>
        <w:pStyle w:val="Virsraksts1"/>
      </w:pPr>
      <w:bookmarkStart w:id="24" w:name="_Toc412646208"/>
      <w:bookmarkStart w:id="25" w:name="_Toc454366466"/>
      <w:r>
        <w:lastRenderedPageBreak/>
        <w:t>Supply Base Evaluation Process</w:t>
      </w:r>
      <w:bookmarkEnd w:id="24"/>
      <w:bookmarkEnd w:id="25"/>
    </w:p>
    <w:p w14:paraId="098D0035" w14:textId="77777777" w:rsidR="00A5000C" w:rsidRDefault="00A5000C" w:rsidP="00A5000C">
      <w:pPr>
        <w:spacing w:line="276" w:lineRule="auto"/>
        <w:ind w:left="-5"/>
      </w:pPr>
      <w:r>
        <w:t xml:space="preserve">  SIA PATA “SBP compliant </w:t>
      </w:r>
      <w:proofErr w:type="spellStart"/>
      <w:r>
        <w:t>biomas</w:t>
      </w:r>
      <w:proofErr w:type="spellEnd"/>
      <w:r>
        <w:t xml:space="preserve">” assessment refers to supplies from Latvia, Lithuania and Estonia, and obtaining of biomass </w:t>
      </w:r>
      <w:proofErr w:type="gramStart"/>
      <w:r>
        <w:t>from :</w:t>
      </w:r>
      <w:proofErr w:type="gramEnd"/>
    </w:p>
    <w:p w14:paraId="014D973F" w14:textId="77777777" w:rsidR="00A5000C" w:rsidRDefault="00A5000C" w:rsidP="00A5000C">
      <w:pPr>
        <w:pStyle w:val="Sarakstarindkopa"/>
        <w:numPr>
          <w:ilvl w:val="0"/>
          <w:numId w:val="20"/>
        </w:numPr>
        <w:spacing w:after="252" w:line="276" w:lineRule="auto"/>
      </w:pPr>
      <w:r>
        <w:t>SBP-approved forestry certification scheme;</w:t>
      </w:r>
    </w:p>
    <w:p w14:paraId="18B002E3" w14:textId="77777777" w:rsidR="00A5000C" w:rsidRDefault="00A5000C" w:rsidP="00A5000C">
      <w:pPr>
        <w:pStyle w:val="Sarakstarindkopa"/>
        <w:numPr>
          <w:ilvl w:val="0"/>
          <w:numId w:val="20"/>
        </w:numPr>
        <w:spacing w:after="252" w:line="276" w:lineRule="auto"/>
      </w:pPr>
      <w:r>
        <w:t>SBP-approved supply chain (</w:t>
      </w:r>
      <w:proofErr w:type="spellStart"/>
      <w:r>
        <w:t>CoC</w:t>
      </w:r>
      <w:proofErr w:type="spellEnd"/>
      <w:r>
        <w:t>) system;</w:t>
      </w:r>
    </w:p>
    <w:p w14:paraId="336B7E62" w14:textId="77777777" w:rsidR="00A5000C" w:rsidRDefault="00A5000C" w:rsidP="00A5000C">
      <w:pPr>
        <w:pStyle w:val="Sarakstarindkopa"/>
        <w:numPr>
          <w:ilvl w:val="0"/>
          <w:numId w:val="20"/>
        </w:numPr>
        <w:spacing w:after="252" w:line="276" w:lineRule="auto"/>
      </w:pPr>
      <w:r>
        <w:t>SBP low risk feedstocks sourced within SBE system;</w:t>
      </w:r>
    </w:p>
    <w:p w14:paraId="3DDC3242" w14:textId="36BA80B3" w:rsidR="00A5000C" w:rsidRDefault="00A5000C" w:rsidP="00A5000C">
      <w:pPr>
        <w:pStyle w:val="Sarakstarindkopa"/>
        <w:numPr>
          <w:ilvl w:val="0"/>
          <w:numId w:val="20"/>
        </w:numPr>
        <w:spacing w:after="252" w:line="276" w:lineRule="auto"/>
      </w:pPr>
      <w:r>
        <w:t xml:space="preserve">SBP approved supply </w:t>
      </w:r>
      <w:r w:rsidR="005218CE">
        <w:t>from agricultural lands</w:t>
      </w:r>
      <w:r>
        <w:t>.</w:t>
      </w:r>
    </w:p>
    <w:p w14:paraId="4380D618" w14:textId="77777777" w:rsidR="00A5000C" w:rsidRDefault="00A5000C" w:rsidP="00A5000C">
      <w:pPr>
        <w:spacing w:line="276" w:lineRule="auto"/>
      </w:pPr>
      <w:r>
        <w:t>The company has developed and implemented a risk mitigation procedure where the identified risk mitigation measures and tools are described.</w:t>
      </w:r>
    </w:p>
    <w:p w14:paraId="40A23D39" w14:textId="2BE83329" w:rsidR="00A5000C" w:rsidRDefault="00A5000C" w:rsidP="00A5000C">
      <w:pPr>
        <w:spacing w:line="276" w:lineRule="auto"/>
      </w:pPr>
      <w:r>
        <w:t>Checking questionnaires to each specified risk indicator were designed and applied to objectively assess and obtain all information on each wood extraction site, which is approved as “SBP compliant biomas</w:t>
      </w:r>
      <w:r w:rsidR="005218CE">
        <w:t>s</w:t>
      </w:r>
      <w:r>
        <w:t>” or “SBP compliant feedstock”.</w:t>
      </w:r>
    </w:p>
    <w:p w14:paraId="2B1379C4" w14:textId="25DCC269" w:rsidR="00A5000C" w:rsidRDefault="00A5000C" w:rsidP="00A5000C">
      <w:pPr>
        <w:spacing w:line="276" w:lineRule="auto"/>
      </w:pPr>
      <w:r>
        <w:t xml:space="preserve">Check frequency and plan is designed so that timber from felling places is checked one time per year. Approved suppliers cutting places are checked by OZOLS data base - </w:t>
      </w:r>
      <w:hyperlink r:id="rId17" w:history="1">
        <w:r>
          <w:rPr>
            <w:rStyle w:val="Hipersaite"/>
          </w:rPr>
          <w:t>https://www.daba.gov.lv/public/lat/dati1/dabas_datu_parvaldibas_sistema_ozols/</w:t>
        </w:r>
      </w:hyperlink>
      <w:r>
        <w:t xml:space="preserve"> and LATBIO data base - http://latbio.lv (in Latvia); </w:t>
      </w:r>
      <w:hyperlink r:id="rId18" w:history="1">
        <w:r w:rsidRPr="00646FD4">
          <w:rPr>
            <w:rStyle w:val="Hipersaite"/>
          </w:rPr>
          <w:t>http://register.metsad.ee</w:t>
        </w:r>
      </w:hyperlink>
      <w:r>
        <w:t xml:space="preserve"> and </w:t>
      </w:r>
      <w:hyperlink r:id="rId19" w:history="1">
        <w:r w:rsidR="00246571" w:rsidRPr="00576868">
          <w:rPr>
            <w:rStyle w:val="Hipersaite"/>
            <w:rFonts w:ascii="Times New Roman" w:eastAsia="Times New Roman" w:hAnsi="Times New Roman" w:cs="Times New Roman"/>
            <w:sz w:val="24"/>
            <w:szCs w:val="24"/>
          </w:rPr>
          <w:t>https://ee.fsc.org/ee-ee/fsc-sertimine/kontrollitud-puit/vaeaeriselupaigad</w:t>
        </w:r>
      </w:hyperlink>
      <w:r w:rsidR="00246571">
        <w:t xml:space="preserve"> and </w:t>
      </w:r>
      <w:hyperlink r:id="rId20" w:history="1">
        <w:r w:rsidR="00246571" w:rsidRPr="00576868">
          <w:rPr>
            <w:rStyle w:val="Hipersaite"/>
            <w:rFonts w:ascii="Times New Roman" w:hAnsi="Times New Roman" w:cs="Times New Roman"/>
            <w:sz w:val="24"/>
            <w:szCs w:val="24"/>
          </w:rPr>
          <w:t>https://hiiepaik.maps.arcgis.com/apps/webappviewer/index.html?id=09558607d1dd4c07acc46c338b2196ac</w:t>
        </w:r>
      </w:hyperlink>
      <w:r w:rsidR="00246571">
        <w:t xml:space="preserve"> </w:t>
      </w:r>
      <w:r>
        <w:t xml:space="preserve">(in Estonia) - private forest owners can sign contract with the state and protect WKH or each time before felling forest owners determine the location of WKH; </w:t>
      </w:r>
      <w:hyperlink r:id="rId21" w:history="1">
        <w:r w:rsidRPr="00646FD4">
          <w:rPr>
            <w:rStyle w:val="Hipersaite"/>
          </w:rPr>
          <w:t>www.geoportal.lt</w:t>
        </w:r>
      </w:hyperlink>
      <w:r>
        <w:t xml:space="preserve"> </w:t>
      </w:r>
      <w:hyperlink r:id="rId22" w:history="1">
        <w:r w:rsidRPr="00646FD4">
          <w:rPr>
            <w:rStyle w:val="Hipersaite"/>
          </w:rPr>
          <w:t>www.natura2000info.lt</w:t>
        </w:r>
      </w:hyperlink>
      <w:r>
        <w:t xml:space="preserve"> (in Lithuania) – in Lithuania natural forest habitats and WKH designated as Natura 2000 sites at the EU level or biosphere polygons at the national level.</w:t>
      </w:r>
    </w:p>
    <w:p w14:paraId="253327AD" w14:textId="77777777" w:rsidR="00A5000C" w:rsidRDefault="00A5000C" w:rsidP="00A5000C">
      <w:pPr>
        <w:spacing w:line="276" w:lineRule="auto"/>
      </w:pPr>
      <w:r>
        <w:t xml:space="preserve"> Checking are performed prior to or during logging. The checking procedure is available at the company only by request, taking into account confidentiality, and is discussed with interested parties to improve it effectively.</w:t>
      </w:r>
    </w:p>
    <w:p w14:paraId="3685D8A9" w14:textId="388259D7" w:rsidR="00A5000C" w:rsidRDefault="00A5000C" w:rsidP="00A5000C">
      <w:pPr>
        <w:spacing w:line="276" w:lineRule="auto"/>
      </w:pPr>
      <w:r>
        <w:t xml:space="preserve">As the basis for the establishment of the SBP and SBE risk mitigation system, there were taken requirements of the </w:t>
      </w:r>
      <w:r w:rsidR="00246571">
        <w:t>FSC</w:t>
      </w:r>
      <w:r>
        <w:t xml:space="preserve"> Supply chain and </w:t>
      </w:r>
      <w:r w:rsidR="00246571">
        <w:t xml:space="preserve">FSC and PEFC </w:t>
      </w:r>
      <w:r>
        <w:t xml:space="preserve">Forest certification system </w:t>
      </w:r>
      <w:proofErr w:type="spellStart"/>
      <w:r>
        <w:t>standarts</w:t>
      </w:r>
      <w:proofErr w:type="spellEnd"/>
      <w:r>
        <w:t>, staff competence in the wood supply chain as well as knowledge in forestry, wood industry and the legality of wood supplies.</w:t>
      </w:r>
    </w:p>
    <w:p w14:paraId="7FDE2DB9" w14:textId="77777777" w:rsidR="00A5000C" w:rsidRPr="00A5000C" w:rsidRDefault="00A5000C" w:rsidP="00A5000C"/>
    <w:p w14:paraId="6968B563" w14:textId="38384401" w:rsidR="00187F41" w:rsidRDefault="00187F41" w:rsidP="00187F41">
      <w:pPr>
        <w:pStyle w:val="Virsraksts1"/>
      </w:pPr>
      <w:bookmarkStart w:id="26" w:name="_Toc412646209"/>
      <w:bookmarkStart w:id="27" w:name="_Toc454366467"/>
      <w:r>
        <w:lastRenderedPageBreak/>
        <w:t>Stakeholder Consultation</w:t>
      </w:r>
      <w:bookmarkEnd w:id="26"/>
      <w:bookmarkEnd w:id="27"/>
      <w:r>
        <w:t xml:space="preserve"> </w:t>
      </w:r>
    </w:p>
    <w:p w14:paraId="46714919" w14:textId="77777777" w:rsidR="00246571" w:rsidRDefault="00246571" w:rsidP="00246571">
      <w:pPr>
        <w:spacing w:after="0" w:line="276" w:lineRule="auto"/>
        <w:ind w:left="-5"/>
      </w:pPr>
      <w:r>
        <w:t xml:space="preserve">On 27 April 2018, the company published the SBP risk assessments and the draft SBR on its website. An informative letter was sent electronically to the interested parties on the risk assessment and draft SBR. The list of interested parties was created so that it includes the maximum number of recipients that represent economic, social and environmental interests of society, as well as local municipalities. The total number of recipients is 42 </w:t>
      </w:r>
      <w:proofErr w:type="gramStart"/>
      <w:r>
        <w:t>correspondent</w:t>
      </w:r>
      <w:proofErr w:type="gramEnd"/>
      <w:r>
        <w:t>.</w:t>
      </w:r>
    </w:p>
    <w:p w14:paraId="030E20EC" w14:textId="77777777" w:rsidR="00246571" w:rsidRDefault="00246571" w:rsidP="00246571">
      <w:pPr>
        <w:spacing w:after="0" w:line="276" w:lineRule="auto"/>
        <w:ind w:left="-5"/>
      </w:pPr>
    </w:p>
    <w:p w14:paraId="5011B33C" w14:textId="77777777" w:rsidR="00246571" w:rsidRDefault="00246571" w:rsidP="00246571">
      <w:pPr>
        <w:spacing w:after="0" w:line="276" w:lineRule="auto"/>
        <w:ind w:left="-5"/>
      </w:pPr>
      <w:r w:rsidRPr="00B30CDD">
        <w:t>SBP risk assessment and draft SBR is available on the company`s website: http://pata.lv/eu/lv/sectionpost/aktualitates/</w:t>
      </w:r>
    </w:p>
    <w:p w14:paraId="6195AF41" w14:textId="77777777" w:rsidR="00246571" w:rsidRPr="00246571" w:rsidRDefault="00246571" w:rsidP="00246571"/>
    <w:p w14:paraId="2E922369" w14:textId="2CF8CF6E" w:rsidR="00187F41" w:rsidRDefault="00187F41" w:rsidP="00187F41">
      <w:pPr>
        <w:pStyle w:val="Virsraksts2"/>
      </w:pPr>
      <w:bookmarkStart w:id="28" w:name="_Toc412646210"/>
      <w:bookmarkStart w:id="29" w:name="_Toc454366468"/>
      <w:r>
        <w:t>Response to stakeholder comments</w:t>
      </w:r>
      <w:bookmarkEnd w:id="28"/>
      <w:bookmarkEnd w:id="29"/>
    </w:p>
    <w:p w14:paraId="64A9C0F8" w14:textId="77777777" w:rsidR="00246571" w:rsidRDefault="00246571" w:rsidP="00246571">
      <w:pPr>
        <w:ind w:left="-5"/>
      </w:pPr>
      <w:r w:rsidRPr="00EB6FA3">
        <w:t>After the stakeholder informed, no recommendations or claims were received regarding the risk assessment and risk mitigation development process.</w:t>
      </w:r>
    </w:p>
    <w:p w14:paraId="603A692E" w14:textId="77777777" w:rsidR="00246571" w:rsidRPr="00246571" w:rsidRDefault="00246571" w:rsidP="00246571"/>
    <w:p w14:paraId="55353EE8" w14:textId="6F28C826" w:rsidR="00187F41" w:rsidRDefault="00187F41" w:rsidP="00187F41">
      <w:pPr>
        <w:pStyle w:val="Virsraksts1"/>
      </w:pPr>
      <w:bookmarkStart w:id="30" w:name="_Toc412646211"/>
      <w:bookmarkStart w:id="31" w:name="_Toc454366469"/>
      <w:r>
        <w:lastRenderedPageBreak/>
        <w:t>Overview of Initial Assessment of Risk</w:t>
      </w:r>
      <w:bookmarkEnd w:id="30"/>
      <w:bookmarkEnd w:id="31"/>
    </w:p>
    <w:p w14:paraId="3EB3225C" w14:textId="77777777" w:rsidR="00B32C9A" w:rsidRDefault="00B32C9A" w:rsidP="00B32C9A">
      <w:r>
        <w:t>The table below provides a summary of risk assessments.</w:t>
      </w:r>
    </w:p>
    <w:p w14:paraId="7939F5FD" w14:textId="77777777" w:rsidR="00B32C9A" w:rsidRDefault="00B32C9A" w:rsidP="00B32C9A">
      <w:r>
        <w:t>SIA PATA overview SBP endorsed Regional Risk Assessments for Latvia, Lithuania and Estonia. After the publication of the risk assessment, company had started risk mitigation process. Results are summarised in section 8 of the report.</w:t>
      </w:r>
    </w:p>
    <w:p w14:paraId="3F9EF18F" w14:textId="77777777" w:rsidR="00B32C9A" w:rsidRPr="00412F9A" w:rsidRDefault="00B32C9A" w:rsidP="00B32C9A">
      <w:r>
        <w:t xml:space="preserve">Table </w:t>
      </w:r>
      <w:r w:rsidRPr="00412F9A">
        <w:t xml:space="preserve">1. </w:t>
      </w:r>
      <w:r>
        <w:t>Overview of results from the risk assessment of all indicators (prior to S</w:t>
      </w:r>
      <w:r w:rsidRPr="00412F9A">
        <w:t>VP)</w:t>
      </w:r>
      <w:r>
        <w:t xml:space="preserve"> - Latvia</w:t>
      </w:r>
    </w:p>
    <w:tbl>
      <w:tblPr>
        <w:tblStyle w:val="Reatabula"/>
        <w:tblW w:w="0" w:type="auto"/>
        <w:tblInd w:w="828" w:type="dxa"/>
        <w:tblLook w:val="04A0" w:firstRow="1" w:lastRow="0" w:firstColumn="1" w:lastColumn="0" w:noHBand="0" w:noVBand="1"/>
      </w:tblPr>
      <w:tblGrid>
        <w:gridCol w:w="1121"/>
        <w:gridCol w:w="1106"/>
        <w:gridCol w:w="682"/>
        <w:gridCol w:w="1350"/>
        <w:gridCol w:w="281"/>
        <w:gridCol w:w="1121"/>
        <w:gridCol w:w="1106"/>
        <w:gridCol w:w="683"/>
        <w:gridCol w:w="1350"/>
      </w:tblGrid>
      <w:tr w:rsidR="00B32C9A" w:rsidRPr="00412F9A" w14:paraId="64D51E02" w14:textId="77777777" w:rsidTr="00BB4A74">
        <w:trPr>
          <w:trHeight w:val="397"/>
        </w:trPr>
        <w:tc>
          <w:tcPr>
            <w:tcW w:w="1172" w:type="dxa"/>
            <w:vMerge w:val="restart"/>
            <w:shd w:val="clear" w:color="auto" w:fill="A3CAB8" w:themeFill="accent3" w:themeFillTint="99"/>
            <w:vAlign w:val="center"/>
          </w:tcPr>
          <w:p w14:paraId="4FA5BE29" w14:textId="77777777" w:rsidR="00B32C9A" w:rsidRPr="00412F9A" w:rsidRDefault="00B32C9A" w:rsidP="00BB4A74">
            <w:pPr>
              <w:spacing w:line="240" w:lineRule="auto"/>
              <w:rPr>
                <w:b/>
              </w:rPr>
            </w:pPr>
            <w:r w:rsidRPr="00412F9A">
              <w:rPr>
                <w:b/>
              </w:rPr>
              <w:t>Indi</w:t>
            </w:r>
            <w:r>
              <w:rPr>
                <w:b/>
              </w:rPr>
              <w:t>c</w:t>
            </w:r>
            <w:r w:rsidRPr="00412F9A">
              <w:rPr>
                <w:b/>
              </w:rPr>
              <w:t>ator</w:t>
            </w:r>
          </w:p>
        </w:tc>
        <w:tc>
          <w:tcPr>
            <w:tcW w:w="3061" w:type="dxa"/>
            <w:gridSpan w:val="3"/>
            <w:shd w:val="clear" w:color="auto" w:fill="A3CAB8" w:themeFill="accent3" w:themeFillTint="99"/>
          </w:tcPr>
          <w:p w14:paraId="247D021D" w14:textId="77777777" w:rsidR="00B32C9A" w:rsidRPr="00412F9A" w:rsidRDefault="00B32C9A" w:rsidP="00BB4A74">
            <w:pPr>
              <w:spacing w:before="120" w:line="240" w:lineRule="auto"/>
              <w:jc w:val="center"/>
              <w:rPr>
                <w:b/>
              </w:rPr>
            </w:pPr>
            <w:r>
              <w:rPr>
                <w:b/>
              </w:rPr>
              <w:t>Initial Risk Rating</w:t>
            </w:r>
          </w:p>
        </w:tc>
        <w:tc>
          <w:tcPr>
            <w:tcW w:w="332" w:type="dxa"/>
            <w:tcBorders>
              <w:top w:val="nil"/>
              <w:bottom w:val="nil"/>
            </w:tcBorders>
            <w:shd w:val="clear" w:color="auto" w:fill="auto"/>
          </w:tcPr>
          <w:p w14:paraId="6AC6D67E" w14:textId="77777777" w:rsidR="00B32C9A" w:rsidRPr="00412F9A" w:rsidRDefault="00B32C9A" w:rsidP="00BB4A74">
            <w:pPr>
              <w:spacing w:line="240" w:lineRule="auto"/>
            </w:pPr>
          </w:p>
        </w:tc>
        <w:tc>
          <w:tcPr>
            <w:tcW w:w="1172" w:type="dxa"/>
            <w:vMerge w:val="restart"/>
            <w:shd w:val="clear" w:color="auto" w:fill="A3CAB8" w:themeFill="accent3" w:themeFillTint="99"/>
            <w:vAlign w:val="center"/>
          </w:tcPr>
          <w:p w14:paraId="691F964F" w14:textId="77777777" w:rsidR="00B32C9A" w:rsidRPr="00412F9A" w:rsidRDefault="00B32C9A" w:rsidP="00BB4A74">
            <w:pPr>
              <w:spacing w:line="240" w:lineRule="auto"/>
              <w:rPr>
                <w:b/>
              </w:rPr>
            </w:pPr>
            <w:r w:rsidRPr="00412F9A">
              <w:rPr>
                <w:b/>
              </w:rPr>
              <w:t>Indi</w:t>
            </w:r>
            <w:r>
              <w:rPr>
                <w:b/>
              </w:rPr>
              <w:t>c</w:t>
            </w:r>
            <w:r w:rsidRPr="00412F9A">
              <w:rPr>
                <w:b/>
              </w:rPr>
              <w:t>ator</w:t>
            </w:r>
          </w:p>
        </w:tc>
        <w:tc>
          <w:tcPr>
            <w:tcW w:w="3063" w:type="dxa"/>
            <w:gridSpan w:val="3"/>
            <w:shd w:val="clear" w:color="auto" w:fill="A3CAB8" w:themeFill="accent3" w:themeFillTint="99"/>
          </w:tcPr>
          <w:p w14:paraId="7BD63C52" w14:textId="77777777" w:rsidR="00B32C9A" w:rsidRPr="00412F9A" w:rsidRDefault="00B32C9A" w:rsidP="00BB4A74">
            <w:pPr>
              <w:spacing w:before="120" w:line="240" w:lineRule="auto"/>
              <w:jc w:val="center"/>
              <w:rPr>
                <w:b/>
              </w:rPr>
            </w:pPr>
            <w:r>
              <w:rPr>
                <w:b/>
              </w:rPr>
              <w:t>Initial Risk Rating</w:t>
            </w:r>
          </w:p>
        </w:tc>
      </w:tr>
      <w:tr w:rsidR="00B32C9A" w:rsidRPr="00412F9A" w14:paraId="3BC640EC" w14:textId="77777777" w:rsidTr="00BB4A74">
        <w:tc>
          <w:tcPr>
            <w:tcW w:w="1172" w:type="dxa"/>
            <w:vMerge/>
            <w:vAlign w:val="center"/>
          </w:tcPr>
          <w:p w14:paraId="5EED1541" w14:textId="77777777" w:rsidR="00B32C9A" w:rsidRPr="00412F9A" w:rsidRDefault="00B32C9A" w:rsidP="00BB4A74">
            <w:pPr>
              <w:spacing w:line="240" w:lineRule="auto"/>
              <w:rPr>
                <w:b/>
              </w:rPr>
            </w:pPr>
          </w:p>
        </w:tc>
        <w:tc>
          <w:tcPr>
            <w:tcW w:w="1042" w:type="dxa"/>
            <w:shd w:val="clear" w:color="auto" w:fill="A3CAB8" w:themeFill="accent3" w:themeFillTint="99"/>
          </w:tcPr>
          <w:p w14:paraId="48555958" w14:textId="77777777" w:rsidR="00B32C9A" w:rsidRPr="00412F9A" w:rsidRDefault="00B32C9A" w:rsidP="00BB4A74">
            <w:pPr>
              <w:spacing w:before="120" w:line="240" w:lineRule="auto"/>
              <w:rPr>
                <w:b/>
              </w:rPr>
            </w:pPr>
            <w:r>
              <w:rPr>
                <w:b/>
              </w:rPr>
              <w:t>Specified</w:t>
            </w:r>
          </w:p>
        </w:tc>
        <w:tc>
          <w:tcPr>
            <w:tcW w:w="739" w:type="dxa"/>
            <w:shd w:val="clear" w:color="auto" w:fill="A3CAB8" w:themeFill="accent3" w:themeFillTint="99"/>
            <w:vAlign w:val="center"/>
          </w:tcPr>
          <w:p w14:paraId="0D51730B" w14:textId="77777777" w:rsidR="00B32C9A" w:rsidRPr="00412F9A" w:rsidRDefault="00B32C9A" w:rsidP="00BB4A74">
            <w:pPr>
              <w:spacing w:before="120" w:line="240" w:lineRule="auto"/>
              <w:rPr>
                <w:b/>
              </w:rPr>
            </w:pPr>
            <w:r>
              <w:rPr>
                <w:b/>
              </w:rPr>
              <w:t>Low</w:t>
            </w:r>
          </w:p>
        </w:tc>
        <w:tc>
          <w:tcPr>
            <w:tcW w:w="1280" w:type="dxa"/>
            <w:shd w:val="clear" w:color="auto" w:fill="A3CAB8" w:themeFill="accent3" w:themeFillTint="99"/>
            <w:vAlign w:val="center"/>
          </w:tcPr>
          <w:p w14:paraId="08B719F5" w14:textId="77777777" w:rsidR="00B32C9A" w:rsidRPr="00412F9A" w:rsidRDefault="00B32C9A" w:rsidP="00BB4A74">
            <w:pPr>
              <w:spacing w:before="120" w:line="240" w:lineRule="auto"/>
              <w:rPr>
                <w:b/>
              </w:rPr>
            </w:pPr>
            <w:r>
              <w:rPr>
                <w:b/>
              </w:rPr>
              <w:t>Unspecified</w:t>
            </w:r>
          </w:p>
        </w:tc>
        <w:tc>
          <w:tcPr>
            <w:tcW w:w="332" w:type="dxa"/>
            <w:tcBorders>
              <w:top w:val="nil"/>
              <w:bottom w:val="nil"/>
            </w:tcBorders>
          </w:tcPr>
          <w:p w14:paraId="736B7EE1" w14:textId="77777777" w:rsidR="00B32C9A" w:rsidRPr="00412F9A" w:rsidRDefault="00B32C9A" w:rsidP="00BB4A74">
            <w:pPr>
              <w:spacing w:line="240" w:lineRule="auto"/>
            </w:pPr>
          </w:p>
        </w:tc>
        <w:tc>
          <w:tcPr>
            <w:tcW w:w="1172" w:type="dxa"/>
            <w:vMerge/>
          </w:tcPr>
          <w:p w14:paraId="7DEF6463" w14:textId="77777777" w:rsidR="00B32C9A" w:rsidRPr="00412F9A" w:rsidRDefault="00B32C9A" w:rsidP="00BB4A74">
            <w:pPr>
              <w:spacing w:line="240" w:lineRule="auto"/>
            </w:pPr>
          </w:p>
        </w:tc>
        <w:tc>
          <w:tcPr>
            <w:tcW w:w="1043" w:type="dxa"/>
            <w:shd w:val="clear" w:color="auto" w:fill="A3CAB8" w:themeFill="accent3" w:themeFillTint="99"/>
          </w:tcPr>
          <w:p w14:paraId="63EB2479" w14:textId="77777777" w:rsidR="00B32C9A" w:rsidRPr="00412F9A" w:rsidRDefault="00B32C9A" w:rsidP="00BB4A74">
            <w:pPr>
              <w:spacing w:before="120" w:line="240" w:lineRule="auto"/>
              <w:rPr>
                <w:b/>
              </w:rPr>
            </w:pPr>
            <w:r>
              <w:rPr>
                <w:b/>
              </w:rPr>
              <w:t>Specified</w:t>
            </w:r>
          </w:p>
        </w:tc>
        <w:tc>
          <w:tcPr>
            <w:tcW w:w="740" w:type="dxa"/>
            <w:shd w:val="clear" w:color="auto" w:fill="A3CAB8" w:themeFill="accent3" w:themeFillTint="99"/>
            <w:vAlign w:val="center"/>
          </w:tcPr>
          <w:p w14:paraId="4EE30F32" w14:textId="77777777" w:rsidR="00B32C9A" w:rsidRPr="00412F9A" w:rsidRDefault="00B32C9A" w:rsidP="00BB4A74">
            <w:pPr>
              <w:spacing w:before="120" w:line="240" w:lineRule="auto"/>
              <w:rPr>
                <w:b/>
              </w:rPr>
            </w:pPr>
            <w:r>
              <w:rPr>
                <w:b/>
              </w:rPr>
              <w:t>Low</w:t>
            </w:r>
          </w:p>
        </w:tc>
        <w:tc>
          <w:tcPr>
            <w:tcW w:w="1280" w:type="dxa"/>
            <w:shd w:val="clear" w:color="auto" w:fill="A3CAB8" w:themeFill="accent3" w:themeFillTint="99"/>
            <w:vAlign w:val="center"/>
          </w:tcPr>
          <w:p w14:paraId="77CAD7D0" w14:textId="77777777" w:rsidR="00B32C9A" w:rsidRPr="00412F9A" w:rsidRDefault="00B32C9A" w:rsidP="00BB4A74">
            <w:pPr>
              <w:spacing w:before="120" w:line="240" w:lineRule="auto"/>
              <w:rPr>
                <w:b/>
              </w:rPr>
            </w:pPr>
            <w:r>
              <w:rPr>
                <w:b/>
              </w:rPr>
              <w:t>Unspecified</w:t>
            </w:r>
          </w:p>
        </w:tc>
      </w:tr>
      <w:tr w:rsidR="00B32C9A" w:rsidRPr="00412F9A" w14:paraId="68B90B39" w14:textId="77777777" w:rsidTr="00BB4A74">
        <w:trPr>
          <w:trHeight w:val="411"/>
        </w:trPr>
        <w:tc>
          <w:tcPr>
            <w:tcW w:w="1172" w:type="dxa"/>
            <w:shd w:val="clear" w:color="auto" w:fill="E0EDE7" w:themeFill="accent3" w:themeFillTint="33"/>
          </w:tcPr>
          <w:p w14:paraId="3FB5690A" w14:textId="77777777" w:rsidR="00B32C9A" w:rsidRPr="00AC4E41" w:rsidRDefault="00B32C9A" w:rsidP="00BB4A74">
            <w:pPr>
              <w:spacing w:before="120" w:line="240" w:lineRule="auto"/>
              <w:jc w:val="center"/>
            </w:pPr>
            <w:r w:rsidRPr="00AC4E41">
              <w:t>1.1.1</w:t>
            </w:r>
          </w:p>
        </w:tc>
        <w:tc>
          <w:tcPr>
            <w:tcW w:w="1042" w:type="dxa"/>
            <w:shd w:val="clear" w:color="auto" w:fill="E0EDE7" w:themeFill="accent3" w:themeFillTint="33"/>
          </w:tcPr>
          <w:p w14:paraId="2D8B6D2A" w14:textId="77777777" w:rsidR="00B32C9A" w:rsidRPr="00AC4E41" w:rsidRDefault="00B32C9A" w:rsidP="00BB4A74">
            <w:pPr>
              <w:spacing w:line="240" w:lineRule="auto"/>
              <w:jc w:val="center"/>
            </w:pPr>
          </w:p>
        </w:tc>
        <w:tc>
          <w:tcPr>
            <w:tcW w:w="739" w:type="dxa"/>
            <w:shd w:val="clear" w:color="auto" w:fill="E0EDE7" w:themeFill="accent3" w:themeFillTint="33"/>
          </w:tcPr>
          <w:p w14:paraId="58E7B780" w14:textId="77777777" w:rsidR="00B32C9A" w:rsidRPr="00AC4E41" w:rsidRDefault="00B32C9A" w:rsidP="00BB4A74">
            <w:pPr>
              <w:spacing w:line="240" w:lineRule="auto"/>
              <w:jc w:val="center"/>
            </w:pPr>
            <w:r w:rsidRPr="00AC4E41">
              <w:t>X</w:t>
            </w:r>
          </w:p>
        </w:tc>
        <w:tc>
          <w:tcPr>
            <w:tcW w:w="1280" w:type="dxa"/>
            <w:shd w:val="clear" w:color="auto" w:fill="E0EDE7" w:themeFill="accent3" w:themeFillTint="33"/>
          </w:tcPr>
          <w:p w14:paraId="4C77A222" w14:textId="77777777" w:rsidR="00B32C9A" w:rsidRPr="00AC4E41" w:rsidRDefault="00B32C9A" w:rsidP="00BB4A74">
            <w:pPr>
              <w:spacing w:line="240" w:lineRule="auto"/>
              <w:jc w:val="center"/>
            </w:pPr>
          </w:p>
        </w:tc>
        <w:tc>
          <w:tcPr>
            <w:tcW w:w="332" w:type="dxa"/>
            <w:tcBorders>
              <w:top w:val="nil"/>
              <w:bottom w:val="nil"/>
            </w:tcBorders>
          </w:tcPr>
          <w:p w14:paraId="2493DD20" w14:textId="77777777" w:rsidR="00B32C9A" w:rsidRPr="00AC4E41" w:rsidRDefault="00B32C9A" w:rsidP="00BB4A74">
            <w:pPr>
              <w:spacing w:line="240" w:lineRule="auto"/>
              <w:jc w:val="center"/>
            </w:pPr>
          </w:p>
        </w:tc>
        <w:tc>
          <w:tcPr>
            <w:tcW w:w="1172" w:type="dxa"/>
            <w:shd w:val="clear" w:color="auto" w:fill="E0EDE7" w:themeFill="accent3" w:themeFillTint="33"/>
          </w:tcPr>
          <w:p w14:paraId="5796E83E" w14:textId="77777777" w:rsidR="00B32C9A" w:rsidRPr="00AC4E41" w:rsidRDefault="00B32C9A" w:rsidP="00BB4A74">
            <w:pPr>
              <w:spacing w:before="120" w:line="240" w:lineRule="auto"/>
              <w:jc w:val="center"/>
            </w:pPr>
            <w:r w:rsidRPr="00AC4E41">
              <w:t>2.3.1</w:t>
            </w:r>
          </w:p>
        </w:tc>
        <w:tc>
          <w:tcPr>
            <w:tcW w:w="1043" w:type="dxa"/>
            <w:shd w:val="clear" w:color="auto" w:fill="E0EDE7" w:themeFill="accent3" w:themeFillTint="33"/>
          </w:tcPr>
          <w:p w14:paraId="535887A3" w14:textId="77777777" w:rsidR="00B32C9A" w:rsidRPr="00AC4E41" w:rsidRDefault="00B32C9A" w:rsidP="00BB4A74">
            <w:pPr>
              <w:spacing w:line="240" w:lineRule="auto"/>
              <w:jc w:val="center"/>
            </w:pPr>
          </w:p>
        </w:tc>
        <w:tc>
          <w:tcPr>
            <w:tcW w:w="740" w:type="dxa"/>
            <w:shd w:val="clear" w:color="auto" w:fill="E0EDE7" w:themeFill="accent3" w:themeFillTint="33"/>
          </w:tcPr>
          <w:p w14:paraId="06584E63" w14:textId="77777777" w:rsidR="00B32C9A" w:rsidRPr="00AC4E41" w:rsidRDefault="00B32C9A" w:rsidP="00BB4A74">
            <w:pPr>
              <w:spacing w:line="240" w:lineRule="auto"/>
              <w:jc w:val="center"/>
            </w:pPr>
            <w:r w:rsidRPr="00AC4E41">
              <w:t>X</w:t>
            </w:r>
          </w:p>
        </w:tc>
        <w:tc>
          <w:tcPr>
            <w:tcW w:w="1280" w:type="dxa"/>
            <w:shd w:val="clear" w:color="auto" w:fill="E0EDE7" w:themeFill="accent3" w:themeFillTint="33"/>
          </w:tcPr>
          <w:p w14:paraId="04C3DB19" w14:textId="77777777" w:rsidR="00B32C9A" w:rsidRPr="00AC4E41" w:rsidRDefault="00B32C9A" w:rsidP="00BB4A74">
            <w:pPr>
              <w:spacing w:line="240" w:lineRule="auto"/>
              <w:jc w:val="center"/>
            </w:pPr>
          </w:p>
        </w:tc>
      </w:tr>
      <w:tr w:rsidR="00B32C9A" w:rsidRPr="00412F9A" w14:paraId="420DEF2C" w14:textId="77777777" w:rsidTr="00BB4A74">
        <w:trPr>
          <w:trHeight w:val="363"/>
        </w:trPr>
        <w:tc>
          <w:tcPr>
            <w:tcW w:w="1172" w:type="dxa"/>
            <w:shd w:val="clear" w:color="auto" w:fill="E0EDE7" w:themeFill="accent3" w:themeFillTint="33"/>
          </w:tcPr>
          <w:p w14:paraId="1DF06BF1" w14:textId="77777777" w:rsidR="00B32C9A" w:rsidRPr="00AC4E41" w:rsidRDefault="00B32C9A" w:rsidP="00BB4A74">
            <w:pPr>
              <w:spacing w:before="120" w:line="240" w:lineRule="auto"/>
              <w:jc w:val="center"/>
            </w:pPr>
            <w:r w:rsidRPr="00AC4E41">
              <w:t>1.1.2</w:t>
            </w:r>
          </w:p>
        </w:tc>
        <w:tc>
          <w:tcPr>
            <w:tcW w:w="1042" w:type="dxa"/>
            <w:shd w:val="clear" w:color="auto" w:fill="E0EDE7" w:themeFill="accent3" w:themeFillTint="33"/>
          </w:tcPr>
          <w:p w14:paraId="2B69B50C" w14:textId="77777777" w:rsidR="00B32C9A" w:rsidRPr="00AC4E41" w:rsidRDefault="00B32C9A" w:rsidP="00BB4A74">
            <w:pPr>
              <w:spacing w:line="240" w:lineRule="auto"/>
              <w:jc w:val="center"/>
            </w:pPr>
          </w:p>
        </w:tc>
        <w:tc>
          <w:tcPr>
            <w:tcW w:w="739" w:type="dxa"/>
            <w:shd w:val="clear" w:color="auto" w:fill="E0EDE7" w:themeFill="accent3" w:themeFillTint="33"/>
          </w:tcPr>
          <w:p w14:paraId="1153658E" w14:textId="77777777" w:rsidR="00B32C9A" w:rsidRPr="00AC4E41" w:rsidRDefault="00B32C9A" w:rsidP="00BB4A74">
            <w:pPr>
              <w:spacing w:line="240" w:lineRule="auto"/>
              <w:jc w:val="center"/>
            </w:pPr>
            <w:r w:rsidRPr="00AC4E41">
              <w:t>X</w:t>
            </w:r>
          </w:p>
        </w:tc>
        <w:tc>
          <w:tcPr>
            <w:tcW w:w="1280" w:type="dxa"/>
            <w:shd w:val="clear" w:color="auto" w:fill="E0EDE7" w:themeFill="accent3" w:themeFillTint="33"/>
          </w:tcPr>
          <w:p w14:paraId="476BA40B" w14:textId="77777777" w:rsidR="00B32C9A" w:rsidRPr="00AC4E41" w:rsidRDefault="00B32C9A" w:rsidP="00BB4A74">
            <w:pPr>
              <w:spacing w:line="240" w:lineRule="auto"/>
              <w:jc w:val="center"/>
            </w:pPr>
          </w:p>
        </w:tc>
        <w:tc>
          <w:tcPr>
            <w:tcW w:w="332" w:type="dxa"/>
            <w:tcBorders>
              <w:top w:val="nil"/>
              <w:bottom w:val="nil"/>
            </w:tcBorders>
          </w:tcPr>
          <w:p w14:paraId="07812153" w14:textId="77777777" w:rsidR="00B32C9A" w:rsidRPr="00AC4E41" w:rsidRDefault="00B32C9A" w:rsidP="00BB4A74">
            <w:pPr>
              <w:spacing w:line="240" w:lineRule="auto"/>
              <w:jc w:val="center"/>
            </w:pPr>
          </w:p>
        </w:tc>
        <w:tc>
          <w:tcPr>
            <w:tcW w:w="1172" w:type="dxa"/>
            <w:shd w:val="clear" w:color="auto" w:fill="E0EDE7" w:themeFill="accent3" w:themeFillTint="33"/>
          </w:tcPr>
          <w:p w14:paraId="7FE83322" w14:textId="77777777" w:rsidR="00B32C9A" w:rsidRPr="00AC4E41" w:rsidRDefault="00B32C9A" w:rsidP="00BB4A74">
            <w:pPr>
              <w:spacing w:before="120" w:line="240" w:lineRule="auto"/>
              <w:jc w:val="center"/>
            </w:pPr>
            <w:r w:rsidRPr="00AC4E41">
              <w:t>2.3.2</w:t>
            </w:r>
          </w:p>
        </w:tc>
        <w:tc>
          <w:tcPr>
            <w:tcW w:w="1043" w:type="dxa"/>
            <w:shd w:val="clear" w:color="auto" w:fill="E0EDE7" w:themeFill="accent3" w:themeFillTint="33"/>
          </w:tcPr>
          <w:p w14:paraId="09FE9238" w14:textId="77777777" w:rsidR="00B32C9A" w:rsidRPr="00AC4E41" w:rsidRDefault="00B32C9A" w:rsidP="00BB4A74">
            <w:pPr>
              <w:spacing w:line="240" w:lineRule="auto"/>
              <w:jc w:val="center"/>
            </w:pPr>
          </w:p>
        </w:tc>
        <w:tc>
          <w:tcPr>
            <w:tcW w:w="740" w:type="dxa"/>
            <w:shd w:val="clear" w:color="auto" w:fill="E0EDE7" w:themeFill="accent3" w:themeFillTint="33"/>
          </w:tcPr>
          <w:p w14:paraId="063C335B" w14:textId="77777777" w:rsidR="00B32C9A" w:rsidRPr="00AC4E41" w:rsidRDefault="00B32C9A" w:rsidP="00BB4A74">
            <w:pPr>
              <w:spacing w:line="240" w:lineRule="auto"/>
              <w:jc w:val="center"/>
            </w:pPr>
            <w:r w:rsidRPr="00AC4E41">
              <w:t>X</w:t>
            </w:r>
          </w:p>
        </w:tc>
        <w:tc>
          <w:tcPr>
            <w:tcW w:w="1280" w:type="dxa"/>
            <w:shd w:val="clear" w:color="auto" w:fill="E0EDE7" w:themeFill="accent3" w:themeFillTint="33"/>
          </w:tcPr>
          <w:p w14:paraId="4E8AE8B3" w14:textId="77777777" w:rsidR="00B32C9A" w:rsidRPr="00AC4E41" w:rsidRDefault="00B32C9A" w:rsidP="00BB4A74">
            <w:pPr>
              <w:spacing w:line="240" w:lineRule="auto"/>
              <w:jc w:val="center"/>
            </w:pPr>
          </w:p>
        </w:tc>
      </w:tr>
      <w:tr w:rsidR="00B32C9A" w:rsidRPr="00412F9A" w14:paraId="265D076D" w14:textId="77777777" w:rsidTr="00BB4A74">
        <w:trPr>
          <w:trHeight w:val="397"/>
        </w:trPr>
        <w:tc>
          <w:tcPr>
            <w:tcW w:w="1172" w:type="dxa"/>
            <w:shd w:val="clear" w:color="auto" w:fill="E0EDE7" w:themeFill="accent3" w:themeFillTint="33"/>
          </w:tcPr>
          <w:p w14:paraId="2B9D4427" w14:textId="77777777" w:rsidR="00B32C9A" w:rsidRPr="00AC4E41" w:rsidRDefault="00B32C9A" w:rsidP="00BB4A74">
            <w:pPr>
              <w:spacing w:before="120" w:line="240" w:lineRule="auto"/>
              <w:jc w:val="center"/>
            </w:pPr>
            <w:r w:rsidRPr="00AC4E41">
              <w:t>1.1.3</w:t>
            </w:r>
          </w:p>
        </w:tc>
        <w:tc>
          <w:tcPr>
            <w:tcW w:w="1042" w:type="dxa"/>
            <w:shd w:val="clear" w:color="auto" w:fill="E0EDE7" w:themeFill="accent3" w:themeFillTint="33"/>
          </w:tcPr>
          <w:p w14:paraId="4B4C457D" w14:textId="77777777" w:rsidR="00B32C9A" w:rsidRPr="00AC4E41" w:rsidRDefault="00B32C9A" w:rsidP="00BB4A74">
            <w:pPr>
              <w:spacing w:line="240" w:lineRule="auto"/>
              <w:jc w:val="center"/>
            </w:pPr>
          </w:p>
        </w:tc>
        <w:tc>
          <w:tcPr>
            <w:tcW w:w="739" w:type="dxa"/>
            <w:shd w:val="clear" w:color="auto" w:fill="E0EDE7" w:themeFill="accent3" w:themeFillTint="33"/>
          </w:tcPr>
          <w:p w14:paraId="4812A487" w14:textId="77777777" w:rsidR="00B32C9A" w:rsidRPr="00AC4E41" w:rsidRDefault="00B32C9A" w:rsidP="00BB4A74">
            <w:pPr>
              <w:spacing w:line="240" w:lineRule="auto"/>
              <w:jc w:val="center"/>
            </w:pPr>
            <w:r w:rsidRPr="00AC4E41">
              <w:t>X</w:t>
            </w:r>
          </w:p>
        </w:tc>
        <w:tc>
          <w:tcPr>
            <w:tcW w:w="1280" w:type="dxa"/>
            <w:shd w:val="clear" w:color="auto" w:fill="E0EDE7" w:themeFill="accent3" w:themeFillTint="33"/>
          </w:tcPr>
          <w:p w14:paraId="0E3E99E6" w14:textId="77777777" w:rsidR="00B32C9A" w:rsidRPr="00AC4E41" w:rsidRDefault="00B32C9A" w:rsidP="00BB4A74">
            <w:pPr>
              <w:spacing w:line="240" w:lineRule="auto"/>
              <w:jc w:val="center"/>
            </w:pPr>
          </w:p>
        </w:tc>
        <w:tc>
          <w:tcPr>
            <w:tcW w:w="332" w:type="dxa"/>
            <w:tcBorders>
              <w:top w:val="nil"/>
              <w:bottom w:val="nil"/>
            </w:tcBorders>
          </w:tcPr>
          <w:p w14:paraId="12A2D1A4" w14:textId="77777777" w:rsidR="00B32C9A" w:rsidRPr="00AC4E41" w:rsidRDefault="00B32C9A" w:rsidP="00BB4A74">
            <w:pPr>
              <w:spacing w:line="240" w:lineRule="auto"/>
              <w:jc w:val="center"/>
            </w:pPr>
          </w:p>
        </w:tc>
        <w:tc>
          <w:tcPr>
            <w:tcW w:w="1172" w:type="dxa"/>
            <w:shd w:val="clear" w:color="auto" w:fill="E0EDE7" w:themeFill="accent3" w:themeFillTint="33"/>
          </w:tcPr>
          <w:p w14:paraId="0B514631" w14:textId="77777777" w:rsidR="00B32C9A" w:rsidRPr="00AC4E41" w:rsidRDefault="00B32C9A" w:rsidP="00BB4A74">
            <w:pPr>
              <w:spacing w:before="120" w:line="240" w:lineRule="auto"/>
              <w:jc w:val="center"/>
            </w:pPr>
            <w:r w:rsidRPr="00AC4E41">
              <w:t>2.3.3</w:t>
            </w:r>
          </w:p>
        </w:tc>
        <w:tc>
          <w:tcPr>
            <w:tcW w:w="1043" w:type="dxa"/>
            <w:shd w:val="clear" w:color="auto" w:fill="E0EDE7" w:themeFill="accent3" w:themeFillTint="33"/>
          </w:tcPr>
          <w:p w14:paraId="47FE6F76" w14:textId="77777777" w:rsidR="00B32C9A" w:rsidRPr="00AC4E41" w:rsidRDefault="00B32C9A" w:rsidP="00BB4A74">
            <w:pPr>
              <w:spacing w:line="240" w:lineRule="auto"/>
              <w:jc w:val="center"/>
            </w:pPr>
          </w:p>
        </w:tc>
        <w:tc>
          <w:tcPr>
            <w:tcW w:w="740" w:type="dxa"/>
            <w:shd w:val="clear" w:color="auto" w:fill="E0EDE7" w:themeFill="accent3" w:themeFillTint="33"/>
          </w:tcPr>
          <w:p w14:paraId="0706DB69" w14:textId="77777777" w:rsidR="00B32C9A" w:rsidRPr="00AC4E41" w:rsidRDefault="00B32C9A" w:rsidP="00BB4A74">
            <w:pPr>
              <w:spacing w:line="240" w:lineRule="auto"/>
              <w:jc w:val="center"/>
            </w:pPr>
            <w:r w:rsidRPr="00AC4E41">
              <w:t>X</w:t>
            </w:r>
          </w:p>
        </w:tc>
        <w:tc>
          <w:tcPr>
            <w:tcW w:w="1280" w:type="dxa"/>
            <w:shd w:val="clear" w:color="auto" w:fill="E0EDE7" w:themeFill="accent3" w:themeFillTint="33"/>
          </w:tcPr>
          <w:p w14:paraId="2D1C00F2" w14:textId="77777777" w:rsidR="00B32C9A" w:rsidRPr="00AC4E41" w:rsidRDefault="00B32C9A" w:rsidP="00BB4A74">
            <w:pPr>
              <w:spacing w:line="240" w:lineRule="auto"/>
              <w:jc w:val="center"/>
            </w:pPr>
          </w:p>
        </w:tc>
      </w:tr>
      <w:tr w:rsidR="00B32C9A" w:rsidRPr="00412F9A" w14:paraId="7BE5162A" w14:textId="77777777" w:rsidTr="00BB4A74">
        <w:trPr>
          <w:trHeight w:val="397"/>
        </w:trPr>
        <w:tc>
          <w:tcPr>
            <w:tcW w:w="1172" w:type="dxa"/>
            <w:shd w:val="clear" w:color="auto" w:fill="E0EDE7" w:themeFill="accent3" w:themeFillTint="33"/>
          </w:tcPr>
          <w:p w14:paraId="59F2AD53" w14:textId="77777777" w:rsidR="00B32C9A" w:rsidRPr="00AC4E41" w:rsidRDefault="00B32C9A" w:rsidP="00BB4A74">
            <w:pPr>
              <w:spacing w:before="120" w:line="240" w:lineRule="auto"/>
              <w:jc w:val="center"/>
            </w:pPr>
            <w:r w:rsidRPr="00AC4E41">
              <w:t>1.2.1</w:t>
            </w:r>
          </w:p>
        </w:tc>
        <w:tc>
          <w:tcPr>
            <w:tcW w:w="1042" w:type="dxa"/>
            <w:shd w:val="clear" w:color="auto" w:fill="E0EDE7" w:themeFill="accent3" w:themeFillTint="33"/>
          </w:tcPr>
          <w:p w14:paraId="4DF022FE" w14:textId="77777777" w:rsidR="00B32C9A" w:rsidRPr="00AC4E41" w:rsidRDefault="00B32C9A" w:rsidP="00BB4A74">
            <w:pPr>
              <w:spacing w:line="240" w:lineRule="auto"/>
              <w:jc w:val="center"/>
            </w:pPr>
          </w:p>
        </w:tc>
        <w:tc>
          <w:tcPr>
            <w:tcW w:w="739" w:type="dxa"/>
            <w:shd w:val="clear" w:color="auto" w:fill="E0EDE7" w:themeFill="accent3" w:themeFillTint="33"/>
          </w:tcPr>
          <w:p w14:paraId="107B3BF3" w14:textId="77777777" w:rsidR="00B32C9A" w:rsidRPr="00AC4E41" w:rsidRDefault="00B32C9A" w:rsidP="00BB4A74">
            <w:pPr>
              <w:spacing w:line="240" w:lineRule="auto"/>
              <w:jc w:val="center"/>
            </w:pPr>
            <w:r w:rsidRPr="00AC4E41">
              <w:t>X</w:t>
            </w:r>
          </w:p>
        </w:tc>
        <w:tc>
          <w:tcPr>
            <w:tcW w:w="1280" w:type="dxa"/>
            <w:shd w:val="clear" w:color="auto" w:fill="E0EDE7" w:themeFill="accent3" w:themeFillTint="33"/>
          </w:tcPr>
          <w:p w14:paraId="62B78C4D" w14:textId="77777777" w:rsidR="00B32C9A" w:rsidRPr="00AC4E41" w:rsidRDefault="00B32C9A" w:rsidP="00BB4A74">
            <w:pPr>
              <w:spacing w:line="240" w:lineRule="auto"/>
              <w:jc w:val="center"/>
            </w:pPr>
          </w:p>
        </w:tc>
        <w:tc>
          <w:tcPr>
            <w:tcW w:w="332" w:type="dxa"/>
            <w:tcBorders>
              <w:top w:val="nil"/>
              <w:bottom w:val="nil"/>
            </w:tcBorders>
          </w:tcPr>
          <w:p w14:paraId="368E5A90" w14:textId="77777777" w:rsidR="00B32C9A" w:rsidRPr="00AC4E41" w:rsidRDefault="00B32C9A" w:rsidP="00BB4A74">
            <w:pPr>
              <w:spacing w:line="240" w:lineRule="auto"/>
              <w:jc w:val="center"/>
            </w:pPr>
          </w:p>
        </w:tc>
        <w:tc>
          <w:tcPr>
            <w:tcW w:w="1172" w:type="dxa"/>
            <w:shd w:val="clear" w:color="auto" w:fill="E0EDE7" w:themeFill="accent3" w:themeFillTint="33"/>
          </w:tcPr>
          <w:p w14:paraId="0E351212" w14:textId="77777777" w:rsidR="00B32C9A" w:rsidRPr="00AC4E41" w:rsidRDefault="00B32C9A" w:rsidP="00BB4A74">
            <w:pPr>
              <w:spacing w:before="120" w:line="240" w:lineRule="auto"/>
              <w:jc w:val="center"/>
            </w:pPr>
            <w:r w:rsidRPr="00AC4E41">
              <w:t>2.4.1</w:t>
            </w:r>
          </w:p>
        </w:tc>
        <w:tc>
          <w:tcPr>
            <w:tcW w:w="1043" w:type="dxa"/>
            <w:shd w:val="clear" w:color="auto" w:fill="E0EDE7" w:themeFill="accent3" w:themeFillTint="33"/>
          </w:tcPr>
          <w:p w14:paraId="2502E228" w14:textId="77777777" w:rsidR="00B32C9A" w:rsidRPr="00AC4E41" w:rsidRDefault="00B32C9A" w:rsidP="00BB4A74">
            <w:pPr>
              <w:spacing w:line="240" w:lineRule="auto"/>
              <w:jc w:val="center"/>
            </w:pPr>
          </w:p>
        </w:tc>
        <w:tc>
          <w:tcPr>
            <w:tcW w:w="740" w:type="dxa"/>
            <w:shd w:val="clear" w:color="auto" w:fill="E0EDE7" w:themeFill="accent3" w:themeFillTint="33"/>
          </w:tcPr>
          <w:p w14:paraId="7AAAD30C" w14:textId="77777777" w:rsidR="00B32C9A" w:rsidRPr="00AC4E41" w:rsidRDefault="00B32C9A" w:rsidP="00BB4A74">
            <w:pPr>
              <w:spacing w:line="240" w:lineRule="auto"/>
              <w:jc w:val="center"/>
            </w:pPr>
            <w:r w:rsidRPr="00AC4E41">
              <w:t>X</w:t>
            </w:r>
          </w:p>
        </w:tc>
        <w:tc>
          <w:tcPr>
            <w:tcW w:w="1280" w:type="dxa"/>
            <w:shd w:val="clear" w:color="auto" w:fill="E0EDE7" w:themeFill="accent3" w:themeFillTint="33"/>
          </w:tcPr>
          <w:p w14:paraId="066F6E3F" w14:textId="77777777" w:rsidR="00B32C9A" w:rsidRPr="00AC4E41" w:rsidRDefault="00B32C9A" w:rsidP="00BB4A74">
            <w:pPr>
              <w:spacing w:line="240" w:lineRule="auto"/>
              <w:jc w:val="center"/>
            </w:pPr>
          </w:p>
        </w:tc>
      </w:tr>
      <w:tr w:rsidR="00B32C9A" w:rsidRPr="00412F9A" w14:paraId="655A951A" w14:textId="77777777" w:rsidTr="00BB4A74">
        <w:trPr>
          <w:trHeight w:val="397"/>
        </w:trPr>
        <w:tc>
          <w:tcPr>
            <w:tcW w:w="1172" w:type="dxa"/>
            <w:shd w:val="clear" w:color="auto" w:fill="E0EDE7" w:themeFill="accent3" w:themeFillTint="33"/>
          </w:tcPr>
          <w:p w14:paraId="1E903AB4" w14:textId="77777777" w:rsidR="00B32C9A" w:rsidRPr="00AC4E41" w:rsidRDefault="00B32C9A" w:rsidP="00BB4A74">
            <w:pPr>
              <w:spacing w:before="120" w:line="240" w:lineRule="auto"/>
              <w:jc w:val="center"/>
            </w:pPr>
            <w:r w:rsidRPr="00AC4E41">
              <w:t>1.3.1</w:t>
            </w:r>
          </w:p>
        </w:tc>
        <w:tc>
          <w:tcPr>
            <w:tcW w:w="1042" w:type="dxa"/>
            <w:shd w:val="clear" w:color="auto" w:fill="E0EDE7" w:themeFill="accent3" w:themeFillTint="33"/>
          </w:tcPr>
          <w:p w14:paraId="1E28BF2B" w14:textId="77777777" w:rsidR="00B32C9A" w:rsidRPr="00AC4E41" w:rsidRDefault="00B32C9A" w:rsidP="00BB4A74">
            <w:pPr>
              <w:spacing w:line="240" w:lineRule="auto"/>
              <w:jc w:val="center"/>
            </w:pPr>
          </w:p>
        </w:tc>
        <w:tc>
          <w:tcPr>
            <w:tcW w:w="739" w:type="dxa"/>
            <w:shd w:val="clear" w:color="auto" w:fill="E0EDE7" w:themeFill="accent3" w:themeFillTint="33"/>
          </w:tcPr>
          <w:p w14:paraId="1C3A9BCE" w14:textId="77777777" w:rsidR="00B32C9A" w:rsidRPr="00AC4E41" w:rsidRDefault="00B32C9A" w:rsidP="00BB4A74">
            <w:pPr>
              <w:spacing w:line="240" w:lineRule="auto"/>
              <w:jc w:val="center"/>
            </w:pPr>
            <w:r w:rsidRPr="00AC4E41">
              <w:t>X</w:t>
            </w:r>
          </w:p>
        </w:tc>
        <w:tc>
          <w:tcPr>
            <w:tcW w:w="1280" w:type="dxa"/>
            <w:shd w:val="clear" w:color="auto" w:fill="E0EDE7" w:themeFill="accent3" w:themeFillTint="33"/>
          </w:tcPr>
          <w:p w14:paraId="0F77F6BF" w14:textId="77777777" w:rsidR="00B32C9A" w:rsidRPr="00AC4E41" w:rsidRDefault="00B32C9A" w:rsidP="00BB4A74">
            <w:pPr>
              <w:spacing w:line="240" w:lineRule="auto"/>
              <w:jc w:val="center"/>
            </w:pPr>
          </w:p>
        </w:tc>
        <w:tc>
          <w:tcPr>
            <w:tcW w:w="332" w:type="dxa"/>
            <w:tcBorders>
              <w:top w:val="nil"/>
              <w:bottom w:val="nil"/>
            </w:tcBorders>
          </w:tcPr>
          <w:p w14:paraId="0841A6C0" w14:textId="77777777" w:rsidR="00B32C9A" w:rsidRPr="00AC4E41" w:rsidRDefault="00B32C9A" w:rsidP="00BB4A74">
            <w:pPr>
              <w:spacing w:line="240" w:lineRule="auto"/>
              <w:jc w:val="center"/>
            </w:pPr>
          </w:p>
        </w:tc>
        <w:tc>
          <w:tcPr>
            <w:tcW w:w="1172" w:type="dxa"/>
            <w:shd w:val="clear" w:color="auto" w:fill="E0EDE7" w:themeFill="accent3" w:themeFillTint="33"/>
          </w:tcPr>
          <w:p w14:paraId="59A6D16A" w14:textId="77777777" w:rsidR="00B32C9A" w:rsidRPr="00AC4E41" w:rsidRDefault="00B32C9A" w:rsidP="00BB4A74">
            <w:pPr>
              <w:spacing w:before="120" w:line="240" w:lineRule="auto"/>
              <w:jc w:val="center"/>
            </w:pPr>
            <w:r w:rsidRPr="00AC4E41">
              <w:t>2.4.2</w:t>
            </w:r>
          </w:p>
        </w:tc>
        <w:tc>
          <w:tcPr>
            <w:tcW w:w="1043" w:type="dxa"/>
            <w:shd w:val="clear" w:color="auto" w:fill="E0EDE7" w:themeFill="accent3" w:themeFillTint="33"/>
          </w:tcPr>
          <w:p w14:paraId="6FBCBC27" w14:textId="77777777" w:rsidR="00B32C9A" w:rsidRPr="00AC4E41" w:rsidRDefault="00B32C9A" w:rsidP="00BB4A74">
            <w:pPr>
              <w:spacing w:line="240" w:lineRule="auto"/>
              <w:jc w:val="center"/>
            </w:pPr>
          </w:p>
        </w:tc>
        <w:tc>
          <w:tcPr>
            <w:tcW w:w="740" w:type="dxa"/>
            <w:shd w:val="clear" w:color="auto" w:fill="E0EDE7" w:themeFill="accent3" w:themeFillTint="33"/>
          </w:tcPr>
          <w:p w14:paraId="368B0C8B" w14:textId="77777777" w:rsidR="00B32C9A" w:rsidRPr="00AC4E41" w:rsidRDefault="00B32C9A" w:rsidP="00BB4A74">
            <w:pPr>
              <w:spacing w:line="240" w:lineRule="auto"/>
              <w:jc w:val="center"/>
            </w:pPr>
            <w:r w:rsidRPr="00AC4E41">
              <w:t>X</w:t>
            </w:r>
          </w:p>
        </w:tc>
        <w:tc>
          <w:tcPr>
            <w:tcW w:w="1280" w:type="dxa"/>
            <w:shd w:val="clear" w:color="auto" w:fill="E0EDE7" w:themeFill="accent3" w:themeFillTint="33"/>
          </w:tcPr>
          <w:p w14:paraId="0F6D0B63" w14:textId="77777777" w:rsidR="00B32C9A" w:rsidRPr="00AC4E41" w:rsidRDefault="00B32C9A" w:rsidP="00BB4A74">
            <w:pPr>
              <w:spacing w:line="240" w:lineRule="auto"/>
              <w:jc w:val="center"/>
            </w:pPr>
          </w:p>
        </w:tc>
      </w:tr>
      <w:tr w:rsidR="00B32C9A" w:rsidRPr="00412F9A" w14:paraId="0946463A" w14:textId="77777777" w:rsidTr="00BB4A74">
        <w:trPr>
          <w:trHeight w:val="397"/>
        </w:trPr>
        <w:tc>
          <w:tcPr>
            <w:tcW w:w="1172" w:type="dxa"/>
            <w:shd w:val="clear" w:color="auto" w:fill="E0EDE7" w:themeFill="accent3" w:themeFillTint="33"/>
          </w:tcPr>
          <w:p w14:paraId="5F16F2DD" w14:textId="77777777" w:rsidR="00B32C9A" w:rsidRPr="00AC4E41" w:rsidRDefault="00B32C9A" w:rsidP="00BB4A74">
            <w:pPr>
              <w:spacing w:before="120" w:line="240" w:lineRule="auto"/>
              <w:jc w:val="center"/>
            </w:pPr>
            <w:r w:rsidRPr="00AC4E41">
              <w:t>1.4.1</w:t>
            </w:r>
          </w:p>
        </w:tc>
        <w:tc>
          <w:tcPr>
            <w:tcW w:w="1042" w:type="dxa"/>
            <w:shd w:val="clear" w:color="auto" w:fill="E0EDE7" w:themeFill="accent3" w:themeFillTint="33"/>
          </w:tcPr>
          <w:p w14:paraId="0E70021F" w14:textId="77777777" w:rsidR="00B32C9A" w:rsidRPr="00AC4E41" w:rsidRDefault="00B32C9A" w:rsidP="00BB4A74">
            <w:pPr>
              <w:spacing w:line="240" w:lineRule="auto"/>
              <w:jc w:val="center"/>
            </w:pPr>
          </w:p>
        </w:tc>
        <w:tc>
          <w:tcPr>
            <w:tcW w:w="739" w:type="dxa"/>
            <w:shd w:val="clear" w:color="auto" w:fill="E0EDE7" w:themeFill="accent3" w:themeFillTint="33"/>
          </w:tcPr>
          <w:p w14:paraId="7A0E2012" w14:textId="77777777" w:rsidR="00B32C9A" w:rsidRPr="00AC4E41" w:rsidRDefault="00B32C9A" w:rsidP="00BB4A74">
            <w:pPr>
              <w:spacing w:line="240" w:lineRule="auto"/>
              <w:jc w:val="center"/>
            </w:pPr>
            <w:r w:rsidRPr="00AC4E41">
              <w:t>X</w:t>
            </w:r>
          </w:p>
        </w:tc>
        <w:tc>
          <w:tcPr>
            <w:tcW w:w="1280" w:type="dxa"/>
            <w:shd w:val="clear" w:color="auto" w:fill="E0EDE7" w:themeFill="accent3" w:themeFillTint="33"/>
          </w:tcPr>
          <w:p w14:paraId="0AF15751" w14:textId="77777777" w:rsidR="00B32C9A" w:rsidRPr="00AC4E41" w:rsidRDefault="00B32C9A" w:rsidP="00BB4A74">
            <w:pPr>
              <w:spacing w:line="240" w:lineRule="auto"/>
              <w:jc w:val="center"/>
            </w:pPr>
          </w:p>
        </w:tc>
        <w:tc>
          <w:tcPr>
            <w:tcW w:w="332" w:type="dxa"/>
            <w:tcBorders>
              <w:top w:val="nil"/>
              <w:bottom w:val="nil"/>
            </w:tcBorders>
          </w:tcPr>
          <w:p w14:paraId="67AF6CCE" w14:textId="77777777" w:rsidR="00B32C9A" w:rsidRPr="00AC4E41" w:rsidRDefault="00B32C9A" w:rsidP="00BB4A74">
            <w:pPr>
              <w:spacing w:line="240" w:lineRule="auto"/>
              <w:jc w:val="center"/>
            </w:pPr>
          </w:p>
        </w:tc>
        <w:tc>
          <w:tcPr>
            <w:tcW w:w="1172" w:type="dxa"/>
            <w:shd w:val="clear" w:color="auto" w:fill="E0EDE7" w:themeFill="accent3" w:themeFillTint="33"/>
          </w:tcPr>
          <w:p w14:paraId="4FEE0562" w14:textId="77777777" w:rsidR="00B32C9A" w:rsidRPr="00AC4E41" w:rsidRDefault="00B32C9A" w:rsidP="00BB4A74">
            <w:pPr>
              <w:spacing w:before="120" w:line="240" w:lineRule="auto"/>
              <w:jc w:val="center"/>
            </w:pPr>
            <w:r w:rsidRPr="00AC4E41">
              <w:t>2.4.3</w:t>
            </w:r>
          </w:p>
        </w:tc>
        <w:tc>
          <w:tcPr>
            <w:tcW w:w="1043" w:type="dxa"/>
            <w:shd w:val="clear" w:color="auto" w:fill="E0EDE7" w:themeFill="accent3" w:themeFillTint="33"/>
          </w:tcPr>
          <w:p w14:paraId="795165AD" w14:textId="77777777" w:rsidR="00B32C9A" w:rsidRPr="00AC4E41" w:rsidRDefault="00B32C9A" w:rsidP="00BB4A74">
            <w:pPr>
              <w:spacing w:line="240" w:lineRule="auto"/>
              <w:jc w:val="center"/>
            </w:pPr>
          </w:p>
        </w:tc>
        <w:tc>
          <w:tcPr>
            <w:tcW w:w="740" w:type="dxa"/>
            <w:shd w:val="clear" w:color="auto" w:fill="E0EDE7" w:themeFill="accent3" w:themeFillTint="33"/>
          </w:tcPr>
          <w:p w14:paraId="42B69F53" w14:textId="77777777" w:rsidR="00B32C9A" w:rsidRPr="00AC4E41" w:rsidRDefault="00B32C9A" w:rsidP="00BB4A74">
            <w:pPr>
              <w:spacing w:line="240" w:lineRule="auto"/>
              <w:jc w:val="center"/>
            </w:pPr>
            <w:r w:rsidRPr="00AC4E41">
              <w:t>X</w:t>
            </w:r>
          </w:p>
        </w:tc>
        <w:tc>
          <w:tcPr>
            <w:tcW w:w="1280" w:type="dxa"/>
            <w:shd w:val="clear" w:color="auto" w:fill="E0EDE7" w:themeFill="accent3" w:themeFillTint="33"/>
          </w:tcPr>
          <w:p w14:paraId="730B0831" w14:textId="77777777" w:rsidR="00B32C9A" w:rsidRPr="00AC4E41" w:rsidRDefault="00B32C9A" w:rsidP="00BB4A74">
            <w:pPr>
              <w:spacing w:line="240" w:lineRule="auto"/>
              <w:jc w:val="center"/>
            </w:pPr>
          </w:p>
        </w:tc>
      </w:tr>
      <w:tr w:rsidR="00B32C9A" w:rsidRPr="00412F9A" w14:paraId="60CF0EDB" w14:textId="77777777" w:rsidTr="00BB4A74">
        <w:trPr>
          <w:trHeight w:val="397"/>
        </w:trPr>
        <w:tc>
          <w:tcPr>
            <w:tcW w:w="1172" w:type="dxa"/>
            <w:shd w:val="clear" w:color="auto" w:fill="E0EDE7" w:themeFill="accent3" w:themeFillTint="33"/>
          </w:tcPr>
          <w:p w14:paraId="6800CD73" w14:textId="77777777" w:rsidR="00B32C9A" w:rsidRPr="00AC4E41" w:rsidRDefault="00B32C9A" w:rsidP="00BB4A74">
            <w:pPr>
              <w:spacing w:before="120" w:line="240" w:lineRule="auto"/>
              <w:jc w:val="center"/>
            </w:pPr>
            <w:r w:rsidRPr="00AC4E41">
              <w:t>1.5.1</w:t>
            </w:r>
          </w:p>
        </w:tc>
        <w:tc>
          <w:tcPr>
            <w:tcW w:w="1042" w:type="dxa"/>
            <w:shd w:val="clear" w:color="auto" w:fill="E0EDE7" w:themeFill="accent3" w:themeFillTint="33"/>
          </w:tcPr>
          <w:p w14:paraId="01D69F54" w14:textId="77777777" w:rsidR="00B32C9A" w:rsidRPr="00AC4E41" w:rsidRDefault="00B32C9A" w:rsidP="00BB4A74">
            <w:pPr>
              <w:spacing w:line="240" w:lineRule="auto"/>
              <w:jc w:val="center"/>
            </w:pPr>
          </w:p>
        </w:tc>
        <w:tc>
          <w:tcPr>
            <w:tcW w:w="739" w:type="dxa"/>
            <w:shd w:val="clear" w:color="auto" w:fill="E0EDE7" w:themeFill="accent3" w:themeFillTint="33"/>
          </w:tcPr>
          <w:p w14:paraId="21AB183C" w14:textId="77777777" w:rsidR="00B32C9A" w:rsidRPr="00AC4E41" w:rsidRDefault="00B32C9A" w:rsidP="00BB4A74">
            <w:pPr>
              <w:spacing w:line="240" w:lineRule="auto"/>
              <w:jc w:val="center"/>
            </w:pPr>
            <w:r w:rsidRPr="00AC4E41">
              <w:t>X</w:t>
            </w:r>
          </w:p>
        </w:tc>
        <w:tc>
          <w:tcPr>
            <w:tcW w:w="1280" w:type="dxa"/>
            <w:shd w:val="clear" w:color="auto" w:fill="E0EDE7" w:themeFill="accent3" w:themeFillTint="33"/>
          </w:tcPr>
          <w:p w14:paraId="3BCD6A8D" w14:textId="77777777" w:rsidR="00B32C9A" w:rsidRPr="00AC4E41" w:rsidRDefault="00B32C9A" w:rsidP="00BB4A74">
            <w:pPr>
              <w:spacing w:line="240" w:lineRule="auto"/>
              <w:jc w:val="center"/>
            </w:pPr>
          </w:p>
        </w:tc>
        <w:tc>
          <w:tcPr>
            <w:tcW w:w="332" w:type="dxa"/>
            <w:tcBorders>
              <w:top w:val="nil"/>
              <w:bottom w:val="nil"/>
            </w:tcBorders>
          </w:tcPr>
          <w:p w14:paraId="527D68E8" w14:textId="77777777" w:rsidR="00B32C9A" w:rsidRPr="00AC4E41" w:rsidRDefault="00B32C9A" w:rsidP="00BB4A74">
            <w:pPr>
              <w:spacing w:line="240" w:lineRule="auto"/>
              <w:jc w:val="center"/>
            </w:pPr>
          </w:p>
        </w:tc>
        <w:tc>
          <w:tcPr>
            <w:tcW w:w="1172" w:type="dxa"/>
            <w:shd w:val="clear" w:color="auto" w:fill="E0EDE7" w:themeFill="accent3" w:themeFillTint="33"/>
          </w:tcPr>
          <w:p w14:paraId="302E6346" w14:textId="77777777" w:rsidR="00B32C9A" w:rsidRPr="00AC4E41" w:rsidRDefault="00B32C9A" w:rsidP="00BB4A74">
            <w:pPr>
              <w:spacing w:before="120" w:line="240" w:lineRule="auto"/>
              <w:jc w:val="center"/>
            </w:pPr>
            <w:r w:rsidRPr="00AC4E41">
              <w:t>2.5.1</w:t>
            </w:r>
          </w:p>
        </w:tc>
        <w:tc>
          <w:tcPr>
            <w:tcW w:w="1043" w:type="dxa"/>
            <w:shd w:val="clear" w:color="auto" w:fill="E0EDE7" w:themeFill="accent3" w:themeFillTint="33"/>
          </w:tcPr>
          <w:p w14:paraId="7EA349D8" w14:textId="77777777" w:rsidR="00B32C9A" w:rsidRPr="00AC4E41" w:rsidRDefault="00B32C9A" w:rsidP="00BB4A74">
            <w:pPr>
              <w:spacing w:line="240" w:lineRule="auto"/>
              <w:jc w:val="center"/>
            </w:pPr>
          </w:p>
        </w:tc>
        <w:tc>
          <w:tcPr>
            <w:tcW w:w="740" w:type="dxa"/>
            <w:shd w:val="clear" w:color="auto" w:fill="E0EDE7" w:themeFill="accent3" w:themeFillTint="33"/>
          </w:tcPr>
          <w:p w14:paraId="5954E65E" w14:textId="77777777" w:rsidR="00B32C9A" w:rsidRPr="00AC4E41" w:rsidRDefault="00B32C9A" w:rsidP="00BB4A74">
            <w:pPr>
              <w:spacing w:line="240" w:lineRule="auto"/>
              <w:jc w:val="center"/>
            </w:pPr>
            <w:r w:rsidRPr="00AC4E41">
              <w:t>X</w:t>
            </w:r>
          </w:p>
        </w:tc>
        <w:tc>
          <w:tcPr>
            <w:tcW w:w="1280" w:type="dxa"/>
            <w:shd w:val="clear" w:color="auto" w:fill="E0EDE7" w:themeFill="accent3" w:themeFillTint="33"/>
          </w:tcPr>
          <w:p w14:paraId="29168A94" w14:textId="77777777" w:rsidR="00B32C9A" w:rsidRPr="00AC4E41" w:rsidRDefault="00B32C9A" w:rsidP="00BB4A74">
            <w:pPr>
              <w:spacing w:line="240" w:lineRule="auto"/>
              <w:jc w:val="center"/>
            </w:pPr>
          </w:p>
        </w:tc>
      </w:tr>
      <w:tr w:rsidR="00B32C9A" w:rsidRPr="00412F9A" w14:paraId="2668CCA3" w14:textId="77777777" w:rsidTr="00BB4A74">
        <w:trPr>
          <w:trHeight w:val="397"/>
        </w:trPr>
        <w:tc>
          <w:tcPr>
            <w:tcW w:w="1172" w:type="dxa"/>
            <w:shd w:val="clear" w:color="auto" w:fill="E0EDE7" w:themeFill="accent3" w:themeFillTint="33"/>
          </w:tcPr>
          <w:p w14:paraId="0279BF27" w14:textId="77777777" w:rsidR="00B32C9A" w:rsidRPr="00AC4E41" w:rsidRDefault="00B32C9A" w:rsidP="00BB4A74">
            <w:pPr>
              <w:spacing w:before="120" w:line="240" w:lineRule="auto"/>
              <w:jc w:val="center"/>
            </w:pPr>
            <w:r w:rsidRPr="00AC4E41">
              <w:t>1.6.1</w:t>
            </w:r>
          </w:p>
        </w:tc>
        <w:tc>
          <w:tcPr>
            <w:tcW w:w="1042" w:type="dxa"/>
            <w:shd w:val="clear" w:color="auto" w:fill="E0EDE7" w:themeFill="accent3" w:themeFillTint="33"/>
          </w:tcPr>
          <w:p w14:paraId="13A6FB9C" w14:textId="77777777" w:rsidR="00B32C9A" w:rsidRPr="00AC4E41" w:rsidRDefault="00B32C9A" w:rsidP="00BB4A74">
            <w:pPr>
              <w:spacing w:line="240" w:lineRule="auto"/>
              <w:jc w:val="center"/>
            </w:pPr>
          </w:p>
        </w:tc>
        <w:tc>
          <w:tcPr>
            <w:tcW w:w="739" w:type="dxa"/>
            <w:shd w:val="clear" w:color="auto" w:fill="E0EDE7" w:themeFill="accent3" w:themeFillTint="33"/>
          </w:tcPr>
          <w:p w14:paraId="080F4B3F" w14:textId="77777777" w:rsidR="00B32C9A" w:rsidRPr="00AC4E41" w:rsidRDefault="00B32C9A" w:rsidP="00BB4A74">
            <w:pPr>
              <w:spacing w:line="240" w:lineRule="auto"/>
              <w:jc w:val="center"/>
            </w:pPr>
            <w:r w:rsidRPr="00AC4E41">
              <w:t>X</w:t>
            </w:r>
          </w:p>
        </w:tc>
        <w:tc>
          <w:tcPr>
            <w:tcW w:w="1280" w:type="dxa"/>
            <w:shd w:val="clear" w:color="auto" w:fill="E0EDE7" w:themeFill="accent3" w:themeFillTint="33"/>
          </w:tcPr>
          <w:p w14:paraId="4DC66383" w14:textId="77777777" w:rsidR="00B32C9A" w:rsidRPr="00AC4E41" w:rsidRDefault="00B32C9A" w:rsidP="00BB4A74">
            <w:pPr>
              <w:spacing w:line="240" w:lineRule="auto"/>
              <w:jc w:val="center"/>
            </w:pPr>
          </w:p>
        </w:tc>
        <w:tc>
          <w:tcPr>
            <w:tcW w:w="332" w:type="dxa"/>
            <w:tcBorders>
              <w:top w:val="nil"/>
              <w:bottom w:val="nil"/>
            </w:tcBorders>
          </w:tcPr>
          <w:p w14:paraId="4EE47833" w14:textId="77777777" w:rsidR="00B32C9A" w:rsidRPr="00AC4E41" w:rsidRDefault="00B32C9A" w:rsidP="00BB4A74">
            <w:pPr>
              <w:spacing w:line="240" w:lineRule="auto"/>
              <w:jc w:val="center"/>
            </w:pPr>
          </w:p>
        </w:tc>
        <w:tc>
          <w:tcPr>
            <w:tcW w:w="1172" w:type="dxa"/>
            <w:shd w:val="clear" w:color="auto" w:fill="E0EDE7" w:themeFill="accent3" w:themeFillTint="33"/>
          </w:tcPr>
          <w:p w14:paraId="2DE40DAD" w14:textId="77777777" w:rsidR="00B32C9A" w:rsidRPr="00AC4E41" w:rsidRDefault="00B32C9A" w:rsidP="00BB4A74">
            <w:pPr>
              <w:spacing w:before="120" w:line="240" w:lineRule="auto"/>
              <w:jc w:val="center"/>
            </w:pPr>
            <w:r w:rsidRPr="00AC4E41">
              <w:t>2.5.2</w:t>
            </w:r>
          </w:p>
        </w:tc>
        <w:tc>
          <w:tcPr>
            <w:tcW w:w="1043" w:type="dxa"/>
            <w:shd w:val="clear" w:color="auto" w:fill="E0EDE7" w:themeFill="accent3" w:themeFillTint="33"/>
          </w:tcPr>
          <w:p w14:paraId="20ED74D3" w14:textId="77777777" w:rsidR="00B32C9A" w:rsidRPr="00AC4E41" w:rsidRDefault="00B32C9A" w:rsidP="00BB4A74">
            <w:pPr>
              <w:spacing w:line="240" w:lineRule="auto"/>
              <w:jc w:val="center"/>
            </w:pPr>
          </w:p>
        </w:tc>
        <w:tc>
          <w:tcPr>
            <w:tcW w:w="740" w:type="dxa"/>
            <w:shd w:val="clear" w:color="auto" w:fill="E0EDE7" w:themeFill="accent3" w:themeFillTint="33"/>
          </w:tcPr>
          <w:p w14:paraId="50A7875C" w14:textId="77777777" w:rsidR="00B32C9A" w:rsidRPr="00AC4E41" w:rsidRDefault="00B32C9A" w:rsidP="00BB4A74">
            <w:pPr>
              <w:spacing w:line="240" w:lineRule="auto"/>
              <w:jc w:val="center"/>
            </w:pPr>
            <w:r w:rsidRPr="00AC4E41">
              <w:t>X</w:t>
            </w:r>
          </w:p>
        </w:tc>
        <w:tc>
          <w:tcPr>
            <w:tcW w:w="1280" w:type="dxa"/>
            <w:shd w:val="clear" w:color="auto" w:fill="E0EDE7" w:themeFill="accent3" w:themeFillTint="33"/>
          </w:tcPr>
          <w:p w14:paraId="4600C3EA" w14:textId="77777777" w:rsidR="00B32C9A" w:rsidRPr="00AC4E41" w:rsidRDefault="00B32C9A" w:rsidP="00BB4A74">
            <w:pPr>
              <w:spacing w:line="240" w:lineRule="auto"/>
              <w:jc w:val="center"/>
            </w:pPr>
          </w:p>
        </w:tc>
      </w:tr>
      <w:tr w:rsidR="00B32C9A" w:rsidRPr="00412F9A" w14:paraId="55A228ED" w14:textId="77777777" w:rsidTr="00BB4A74">
        <w:trPr>
          <w:trHeight w:val="397"/>
        </w:trPr>
        <w:tc>
          <w:tcPr>
            <w:tcW w:w="1172" w:type="dxa"/>
            <w:shd w:val="clear" w:color="auto" w:fill="E0EDE7" w:themeFill="accent3" w:themeFillTint="33"/>
          </w:tcPr>
          <w:p w14:paraId="1D7F60E2" w14:textId="77777777" w:rsidR="00B32C9A" w:rsidRPr="00AC4E41" w:rsidRDefault="00B32C9A" w:rsidP="00BB4A74">
            <w:pPr>
              <w:spacing w:before="120" w:line="240" w:lineRule="auto"/>
              <w:jc w:val="center"/>
            </w:pPr>
            <w:r w:rsidRPr="00AC4E41">
              <w:t>2.1.1</w:t>
            </w:r>
          </w:p>
        </w:tc>
        <w:tc>
          <w:tcPr>
            <w:tcW w:w="1042" w:type="dxa"/>
            <w:shd w:val="clear" w:color="auto" w:fill="E0EDE7" w:themeFill="accent3" w:themeFillTint="33"/>
          </w:tcPr>
          <w:p w14:paraId="3AB48582" w14:textId="77777777" w:rsidR="00B32C9A" w:rsidRPr="00AC4E41" w:rsidRDefault="00B32C9A" w:rsidP="00BB4A74">
            <w:pPr>
              <w:spacing w:line="240" w:lineRule="auto"/>
              <w:jc w:val="center"/>
            </w:pPr>
            <w:r w:rsidRPr="00AC4E41">
              <w:t>X</w:t>
            </w:r>
          </w:p>
        </w:tc>
        <w:tc>
          <w:tcPr>
            <w:tcW w:w="739" w:type="dxa"/>
            <w:shd w:val="clear" w:color="auto" w:fill="E0EDE7" w:themeFill="accent3" w:themeFillTint="33"/>
          </w:tcPr>
          <w:p w14:paraId="3A72AA0A" w14:textId="77777777" w:rsidR="00B32C9A" w:rsidRPr="00AC4E41" w:rsidRDefault="00B32C9A" w:rsidP="00BB4A74">
            <w:pPr>
              <w:spacing w:line="240" w:lineRule="auto"/>
              <w:jc w:val="center"/>
            </w:pPr>
          </w:p>
        </w:tc>
        <w:tc>
          <w:tcPr>
            <w:tcW w:w="1280" w:type="dxa"/>
            <w:shd w:val="clear" w:color="auto" w:fill="E0EDE7" w:themeFill="accent3" w:themeFillTint="33"/>
          </w:tcPr>
          <w:p w14:paraId="5BF204FE" w14:textId="77777777" w:rsidR="00B32C9A" w:rsidRPr="00AC4E41" w:rsidRDefault="00B32C9A" w:rsidP="00BB4A74">
            <w:pPr>
              <w:spacing w:line="240" w:lineRule="auto"/>
              <w:jc w:val="center"/>
            </w:pPr>
          </w:p>
        </w:tc>
        <w:tc>
          <w:tcPr>
            <w:tcW w:w="332" w:type="dxa"/>
            <w:tcBorders>
              <w:top w:val="nil"/>
              <w:bottom w:val="nil"/>
            </w:tcBorders>
          </w:tcPr>
          <w:p w14:paraId="6EB6696D" w14:textId="77777777" w:rsidR="00B32C9A" w:rsidRPr="00AC4E41" w:rsidRDefault="00B32C9A" w:rsidP="00BB4A74">
            <w:pPr>
              <w:spacing w:line="240" w:lineRule="auto"/>
              <w:jc w:val="center"/>
            </w:pPr>
          </w:p>
        </w:tc>
        <w:tc>
          <w:tcPr>
            <w:tcW w:w="1172" w:type="dxa"/>
            <w:shd w:val="clear" w:color="auto" w:fill="E0EDE7" w:themeFill="accent3" w:themeFillTint="33"/>
          </w:tcPr>
          <w:p w14:paraId="66F75CAD" w14:textId="77777777" w:rsidR="00B32C9A" w:rsidRPr="00AC4E41" w:rsidRDefault="00B32C9A" w:rsidP="00BB4A74">
            <w:pPr>
              <w:spacing w:before="120" w:line="240" w:lineRule="auto"/>
              <w:jc w:val="center"/>
            </w:pPr>
            <w:r w:rsidRPr="00AC4E41">
              <w:t>2.6.1</w:t>
            </w:r>
          </w:p>
        </w:tc>
        <w:tc>
          <w:tcPr>
            <w:tcW w:w="1043" w:type="dxa"/>
            <w:shd w:val="clear" w:color="auto" w:fill="E0EDE7" w:themeFill="accent3" w:themeFillTint="33"/>
          </w:tcPr>
          <w:p w14:paraId="3AAB5036" w14:textId="77777777" w:rsidR="00B32C9A" w:rsidRPr="00AC4E41" w:rsidRDefault="00B32C9A" w:rsidP="00BB4A74">
            <w:pPr>
              <w:spacing w:line="240" w:lineRule="auto"/>
              <w:jc w:val="center"/>
            </w:pPr>
          </w:p>
        </w:tc>
        <w:tc>
          <w:tcPr>
            <w:tcW w:w="740" w:type="dxa"/>
            <w:shd w:val="clear" w:color="auto" w:fill="E0EDE7" w:themeFill="accent3" w:themeFillTint="33"/>
          </w:tcPr>
          <w:p w14:paraId="5930E8A7" w14:textId="77777777" w:rsidR="00B32C9A" w:rsidRPr="00AC4E41" w:rsidRDefault="00B32C9A" w:rsidP="00BB4A74">
            <w:pPr>
              <w:spacing w:line="240" w:lineRule="auto"/>
              <w:jc w:val="center"/>
            </w:pPr>
            <w:r w:rsidRPr="00AC4E41">
              <w:t>X</w:t>
            </w:r>
          </w:p>
        </w:tc>
        <w:tc>
          <w:tcPr>
            <w:tcW w:w="1280" w:type="dxa"/>
            <w:shd w:val="clear" w:color="auto" w:fill="E0EDE7" w:themeFill="accent3" w:themeFillTint="33"/>
          </w:tcPr>
          <w:p w14:paraId="445A41FC" w14:textId="77777777" w:rsidR="00B32C9A" w:rsidRPr="00AC4E41" w:rsidRDefault="00B32C9A" w:rsidP="00BB4A74">
            <w:pPr>
              <w:spacing w:line="240" w:lineRule="auto"/>
              <w:jc w:val="center"/>
            </w:pPr>
          </w:p>
        </w:tc>
      </w:tr>
      <w:tr w:rsidR="00B32C9A" w:rsidRPr="00412F9A" w14:paraId="5054DE7F" w14:textId="77777777" w:rsidTr="00BB4A74">
        <w:trPr>
          <w:trHeight w:val="397"/>
        </w:trPr>
        <w:tc>
          <w:tcPr>
            <w:tcW w:w="1172" w:type="dxa"/>
            <w:shd w:val="clear" w:color="auto" w:fill="E0EDE7" w:themeFill="accent3" w:themeFillTint="33"/>
          </w:tcPr>
          <w:p w14:paraId="4908F7C5" w14:textId="77777777" w:rsidR="00B32C9A" w:rsidRPr="00AC4E41" w:rsidRDefault="00B32C9A" w:rsidP="00BB4A74">
            <w:pPr>
              <w:spacing w:before="120" w:line="240" w:lineRule="auto"/>
              <w:jc w:val="center"/>
            </w:pPr>
            <w:r w:rsidRPr="00AC4E41">
              <w:t>2.1.2</w:t>
            </w:r>
          </w:p>
        </w:tc>
        <w:tc>
          <w:tcPr>
            <w:tcW w:w="1042" w:type="dxa"/>
            <w:shd w:val="clear" w:color="auto" w:fill="E0EDE7" w:themeFill="accent3" w:themeFillTint="33"/>
          </w:tcPr>
          <w:p w14:paraId="78161B14" w14:textId="77777777" w:rsidR="00B32C9A" w:rsidRPr="00AC4E41" w:rsidRDefault="00B32C9A" w:rsidP="00BB4A74">
            <w:pPr>
              <w:spacing w:line="240" w:lineRule="auto"/>
              <w:jc w:val="center"/>
            </w:pPr>
            <w:r w:rsidRPr="00AC4E41">
              <w:t>X</w:t>
            </w:r>
          </w:p>
        </w:tc>
        <w:tc>
          <w:tcPr>
            <w:tcW w:w="739" w:type="dxa"/>
            <w:shd w:val="clear" w:color="auto" w:fill="E0EDE7" w:themeFill="accent3" w:themeFillTint="33"/>
          </w:tcPr>
          <w:p w14:paraId="0319B84B" w14:textId="77777777" w:rsidR="00B32C9A" w:rsidRPr="00AC4E41" w:rsidRDefault="00B32C9A" w:rsidP="00BB4A74">
            <w:pPr>
              <w:spacing w:line="240" w:lineRule="auto"/>
              <w:jc w:val="center"/>
            </w:pPr>
          </w:p>
        </w:tc>
        <w:tc>
          <w:tcPr>
            <w:tcW w:w="1280" w:type="dxa"/>
            <w:shd w:val="clear" w:color="auto" w:fill="E0EDE7" w:themeFill="accent3" w:themeFillTint="33"/>
          </w:tcPr>
          <w:p w14:paraId="0CBFC9A0" w14:textId="77777777" w:rsidR="00B32C9A" w:rsidRPr="00AC4E41" w:rsidRDefault="00B32C9A" w:rsidP="00BB4A74">
            <w:pPr>
              <w:spacing w:line="240" w:lineRule="auto"/>
              <w:jc w:val="center"/>
            </w:pPr>
          </w:p>
        </w:tc>
        <w:tc>
          <w:tcPr>
            <w:tcW w:w="332" w:type="dxa"/>
            <w:tcBorders>
              <w:top w:val="nil"/>
              <w:bottom w:val="nil"/>
            </w:tcBorders>
          </w:tcPr>
          <w:p w14:paraId="34A6B155" w14:textId="77777777" w:rsidR="00B32C9A" w:rsidRPr="00AC4E41" w:rsidRDefault="00B32C9A" w:rsidP="00BB4A74">
            <w:pPr>
              <w:spacing w:line="240" w:lineRule="auto"/>
              <w:jc w:val="center"/>
            </w:pPr>
          </w:p>
        </w:tc>
        <w:tc>
          <w:tcPr>
            <w:tcW w:w="1172" w:type="dxa"/>
            <w:shd w:val="clear" w:color="auto" w:fill="E0EDE7" w:themeFill="accent3" w:themeFillTint="33"/>
          </w:tcPr>
          <w:p w14:paraId="79EDC8CE" w14:textId="77777777" w:rsidR="00B32C9A" w:rsidRPr="00AC4E41" w:rsidRDefault="00B32C9A" w:rsidP="00BB4A74">
            <w:pPr>
              <w:spacing w:before="120" w:line="240" w:lineRule="auto"/>
              <w:jc w:val="center"/>
            </w:pPr>
            <w:r w:rsidRPr="00AC4E41">
              <w:t>2.7.1</w:t>
            </w:r>
          </w:p>
        </w:tc>
        <w:tc>
          <w:tcPr>
            <w:tcW w:w="1043" w:type="dxa"/>
            <w:shd w:val="clear" w:color="auto" w:fill="E0EDE7" w:themeFill="accent3" w:themeFillTint="33"/>
          </w:tcPr>
          <w:p w14:paraId="323D8DF8" w14:textId="77777777" w:rsidR="00B32C9A" w:rsidRPr="00AC4E41" w:rsidRDefault="00B32C9A" w:rsidP="00BB4A74">
            <w:pPr>
              <w:spacing w:line="240" w:lineRule="auto"/>
              <w:jc w:val="center"/>
            </w:pPr>
          </w:p>
        </w:tc>
        <w:tc>
          <w:tcPr>
            <w:tcW w:w="740" w:type="dxa"/>
            <w:shd w:val="clear" w:color="auto" w:fill="E0EDE7" w:themeFill="accent3" w:themeFillTint="33"/>
          </w:tcPr>
          <w:p w14:paraId="7E7C4060" w14:textId="77777777" w:rsidR="00B32C9A" w:rsidRPr="00AC4E41" w:rsidRDefault="00B32C9A" w:rsidP="00BB4A74">
            <w:pPr>
              <w:spacing w:line="240" w:lineRule="auto"/>
              <w:jc w:val="center"/>
            </w:pPr>
            <w:r w:rsidRPr="00AC4E41">
              <w:t>X</w:t>
            </w:r>
          </w:p>
        </w:tc>
        <w:tc>
          <w:tcPr>
            <w:tcW w:w="1280" w:type="dxa"/>
            <w:shd w:val="clear" w:color="auto" w:fill="E0EDE7" w:themeFill="accent3" w:themeFillTint="33"/>
          </w:tcPr>
          <w:p w14:paraId="7FBEA88B" w14:textId="77777777" w:rsidR="00B32C9A" w:rsidRPr="00AC4E41" w:rsidRDefault="00B32C9A" w:rsidP="00BB4A74">
            <w:pPr>
              <w:spacing w:line="240" w:lineRule="auto"/>
              <w:jc w:val="center"/>
            </w:pPr>
          </w:p>
        </w:tc>
      </w:tr>
      <w:tr w:rsidR="00B32C9A" w:rsidRPr="00412F9A" w14:paraId="2CE3DDE1" w14:textId="77777777" w:rsidTr="00BB4A74">
        <w:trPr>
          <w:trHeight w:val="397"/>
        </w:trPr>
        <w:tc>
          <w:tcPr>
            <w:tcW w:w="1172" w:type="dxa"/>
            <w:shd w:val="clear" w:color="auto" w:fill="E0EDE7" w:themeFill="accent3" w:themeFillTint="33"/>
          </w:tcPr>
          <w:p w14:paraId="62E88DAB" w14:textId="77777777" w:rsidR="00B32C9A" w:rsidRPr="00AC4E41" w:rsidRDefault="00B32C9A" w:rsidP="00BB4A74">
            <w:pPr>
              <w:spacing w:before="120" w:line="240" w:lineRule="auto"/>
              <w:jc w:val="center"/>
            </w:pPr>
            <w:r w:rsidRPr="00AC4E41">
              <w:t>2.1.3</w:t>
            </w:r>
          </w:p>
        </w:tc>
        <w:tc>
          <w:tcPr>
            <w:tcW w:w="1042" w:type="dxa"/>
            <w:shd w:val="clear" w:color="auto" w:fill="E0EDE7" w:themeFill="accent3" w:themeFillTint="33"/>
          </w:tcPr>
          <w:p w14:paraId="0E8FC9AB" w14:textId="77777777" w:rsidR="00B32C9A" w:rsidRPr="00AC4E41" w:rsidRDefault="00B32C9A" w:rsidP="00BB4A74">
            <w:pPr>
              <w:spacing w:line="240" w:lineRule="auto"/>
              <w:jc w:val="center"/>
            </w:pPr>
          </w:p>
        </w:tc>
        <w:tc>
          <w:tcPr>
            <w:tcW w:w="739" w:type="dxa"/>
            <w:shd w:val="clear" w:color="auto" w:fill="E0EDE7" w:themeFill="accent3" w:themeFillTint="33"/>
          </w:tcPr>
          <w:p w14:paraId="3D3851DB" w14:textId="77777777" w:rsidR="00B32C9A" w:rsidRPr="00AC4E41" w:rsidRDefault="00B32C9A" w:rsidP="00BB4A74">
            <w:pPr>
              <w:spacing w:line="240" w:lineRule="auto"/>
              <w:jc w:val="center"/>
            </w:pPr>
            <w:r w:rsidRPr="00AC4E41">
              <w:t>X</w:t>
            </w:r>
          </w:p>
        </w:tc>
        <w:tc>
          <w:tcPr>
            <w:tcW w:w="1280" w:type="dxa"/>
            <w:shd w:val="clear" w:color="auto" w:fill="E0EDE7" w:themeFill="accent3" w:themeFillTint="33"/>
          </w:tcPr>
          <w:p w14:paraId="34A902E5" w14:textId="77777777" w:rsidR="00B32C9A" w:rsidRPr="00AC4E41" w:rsidRDefault="00B32C9A" w:rsidP="00BB4A74">
            <w:pPr>
              <w:spacing w:line="240" w:lineRule="auto"/>
              <w:jc w:val="center"/>
            </w:pPr>
          </w:p>
        </w:tc>
        <w:tc>
          <w:tcPr>
            <w:tcW w:w="332" w:type="dxa"/>
            <w:tcBorders>
              <w:top w:val="nil"/>
              <w:bottom w:val="nil"/>
            </w:tcBorders>
          </w:tcPr>
          <w:p w14:paraId="52E0D7D8" w14:textId="77777777" w:rsidR="00B32C9A" w:rsidRPr="00AC4E41" w:rsidRDefault="00B32C9A" w:rsidP="00BB4A74">
            <w:pPr>
              <w:spacing w:line="240" w:lineRule="auto"/>
              <w:jc w:val="center"/>
            </w:pPr>
          </w:p>
        </w:tc>
        <w:tc>
          <w:tcPr>
            <w:tcW w:w="1172" w:type="dxa"/>
            <w:shd w:val="clear" w:color="auto" w:fill="E0EDE7" w:themeFill="accent3" w:themeFillTint="33"/>
          </w:tcPr>
          <w:p w14:paraId="16C54C58" w14:textId="77777777" w:rsidR="00B32C9A" w:rsidRPr="00AC4E41" w:rsidRDefault="00B32C9A" w:rsidP="00BB4A74">
            <w:pPr>
              <w:spacing w:before="120" w:line="240" w:lineRule="auto"/>
              <w:jc w:val="center"/>
            </w:pPr>
            <w:r w:rsidRPr="00AC4E41">
              <w:t>2.7.2</w:t>
            </w:r>
          </w:p>
        </w:tc>
        <w:tc>
          <w:tcPr>
            <w:tcW w:w="1043" w:type="dxa"/>
            <w:shd w:val="clear" w:color="auto" w:fill="E0EDE7" w:themeFill="accent3" w:themeFillTint="33"/>
          </w:tcPr>
          <w:p w14:paraId="2A0E7B66" w14:textId="77777777" w:rsidR="00B32C9A" w:rsidRPr="00AC4E41" w:rsidRDefault="00B32C9A" w:rsidP="00BB4A74">
            <w:pPr>
              <w:spacing w:line="240" w:lineRule="auto"/>
              <w:jc w:val="center"/>
            </w:pPr>
          </w:p>
        </w:tc>
        <w:tc>
          <w:tcPr>
            <w:tcW w:w="740" w:type="dxa"/>
            <w:shd w:val="clear" w:color="auto" w:fill="E0EDE7" w:themeFill="accent3" w:themeFillTint="33"/>
          </w:tcPr>
          <w:p w14:paraId="08A0D113" w14:textId="77777777" w:rsidR="00B32C9A" w:rsidRPr="00AC4E41" w:rsidRDefault="00B32C9A" w:rsidP="00BB4A74">
            <w:pPr>
              <w:spacing w:line="240" w:lineRule="auto"/>
              <w:jc w:val="center"/>
            </w:pPr>
            <w:r w:rsidRPr="00AC4E41">
              <w:t>X</w:t>
            </w:r>
          </w:p>
        </w:tc>
        <w:tc>
          <w:tcPr>
            <w:tcW w:w="1280" w:type="dxa"/>
            <w:shd w:val="clear" w:color="auto" w:fill="E0EDE7" w:themeFill="accent3" w:themeFillTint="33"/>
          </w:tcPr>
          <w:p w14:paraId="1C81714A" w14:textId="77777777" w:rsidR="00B32C9A" w:rsidRPr="00AC4E41" w:rsidRDefault="00B32C9A" w:rsidP="00BB4A74">
            <w:pPr>
              <w:spacing w:line="240" w:lineRule="auto"/>
              <w:jc w:val="center"/>
            </w:pPr>
          </w:p>
        </w:tc>
      </w:tr>
      <w:tr w:rsidR="00B32C9A" w:rsidRPr="00412F9A" w14:paraId="07370A7A" w14:textId="77777777" w:rsidTr="00BB4A74">
        <w:trPr>
          <w:trHeight w:val="397"/>
        </w:trPr>
        <w:tc>
          <w:tcPr>
            <w:tcW w:w="1172" w:type="dxa"/>
            <w:shd w:val="clear" w:color="auto" w:fill="E0EDE7" w:themeFill="accent3" w:themeFillTint="33"/>
          </w:tcPr>
          <w:p w14:paraId="3CC3CAD8" w14:textId="77777777" w:rsidR="00B32C9A" w:rsidRPr="00AC4E41" w:rsidRDefault="00B32C9A" w:rsidP="00BB4A74">
            <w:pPr>
              <w:spacing w:before="120" w:line="240" w:lineRule="auto"/>
              <w:jc w:val="center"/>
            </w:pPr>
            <w:r w:rsidRPr="00AC4E41">
              <w:t>2.2.1</w:t>
            </w:r>
          </w:p>
        </w:tc>
        <w:tc>
          <w:tcPr>
            <w:tcW w:w="1042" w:type="dxa"/>
            <w:shd w:val="clear" w:color="auto" w:fill="E0EDE7" w:themeFill="accent3" w:themeFillTint="33"/>
          </w:tcPr>
          <w:p w14:paraId="3E498C99" w14:textId="77777777" w:rsidR="00B32C9A" w:rsidRPr="00AC4E41" w:rsidRDefault="00B32C9A" w:rsidP="00BB4A74">
            <w:pPr>
              <w:spacing w:line="240" w:lineRule="auto"/>
              <w:jc w:val="center"/>
            </w:pPr>
          </w:p>
        </w:tc>
        <w:tc>
          <w:tcPr>
            <w:tcW w:w="739" w:type="dxa"/>
            <w:shd w:val="clear" w:color="auto" w:fill="E0EDE7" w:themeFill="accent3" w:themeFillTint="33"/>
          </w:tcPr>
          <w:p w14:paraId="26A3920A" w14:textId="77777777" w:rsidR="00B32C9A" w:rsidRPr="00AC4E41" w:rsidRDefault="00B32C9A" w:rsidP="00BB4A74">
            <w:pPr>
              <w:spacing w:line="240" w:lineRule="auto"/>
              <w:jc w:val="center"/>
            </w:pPr>
            <w:r w:rsidRPr="00AC4E41">
              <w:t>X</w:t>
            </w:r>
          </w:p>
        </w:tc>
        <w:tc>
          <w:tcPr>
            <w:tcW w:w="1280" w:type="dxa"/>
            <w:shd w:val="clear" w:color="auto" w:fill="E0EDE7" w:themeFill="accent3" w:themeFillTint="33"/>
          </w:tcPr>
          <w:p w14:paraId="6C2655E8" w14:textId="77777777" w:rsidR="00B32C9A" w:rsidRPr="00AC4E41" w:rsidRDefault="00B32C9A" w:rsidP="00BB4A74">
            <w:pPr>
              <w:spacing w:line="240" w:lineRule="auto"/>
              <w:jc w:val="center"/>
            </w:pPr>
          </w:p>
        </w:tc>
        <w:tc>
          <w:tcPr>
            <w:tcW w:w="332" w:type="dxa"/>
            <w:tcBorders>
              <w:top w:val="nil"/>
              <w:bottom w:val="nil"/>
            </w:tcBorders>
          </w:tcPr>
          <w:p w14:paraId="15BAA20A" w14:textId="77777777" w:rsidR="00B32C9A" w:rsidRPr="00AC4E41" w:rsidRDefault="00B32C9A" w:rsidP="00BB4A74">
            <w:pPr>
              <w:spacing w:line="240" w:lineRule="auto"/>
              <w:jc w:val="center"/>
            </w:pPr>
          </w:p>
        </w:tc>
        <w:tc>
          <w:tcPr>
            <w:tcW w:w="1172" w:type="dxa"/>
            <w:shd w:val="clear" w:color="auto" w:fill="E0EDE7" w:themeFill="accent3" w:themeFillTint="33"/>
          </w:tcPr>
          <w:p w14:paraId="33E71DBE" w14:textId="77777777" w:rsidR="00B32C9A" w:rsidRPr="00AC4E41" w:rsidRDefault="00B32C9A" w:rsidP="00BB4A74">
            <w:pPr>
              <w:spacing w:before="120" w:line="240" w:lineRule="auto"/>
              <w:jc w:val="center"/>
            </w:pPr>
            <w:r w:rsidRPr="00AC4E41">
              <w:t>2.7.3</w:t>
            </w:r>
          </w:p>
        </w:tc>
        <w:tc>
          <w:tcPr>
            <w:tcW w:w="1043" w:type="dxa"/>
            <w:shd w:val="clear" w:color="auto" w:fill="E0EDE7" w:themeFill="accent3" w:themeFillTint="33"/>
          </w:tcPr>
          <w:p w14:paraId="446CE022" w14:textId="77777777" w:rsidR="00B32C9A" w:rsidRPr="00AC4E41" w:rsidRDefault="00B32C9A" w:rsidP="00BB4A74">
            <w:pPr>
              <w:spacing w:line="240" w:lineRule="auto"/>
              <w:jc w:val="center"/>
            </w:pPr>
          </w:p>
        </w:tc>
        <w:tc>
          <w:tcPr>
            <w:tcW w:w="740" w:type="dxa"/>
            <w:shd w:val="clear" w:color="auto" w:fill="E0EDE7" w:themeFill="accent3" w:themeFillTint="33"/>
          </w:tcPr>
          <w:p w14:paraId="1FDF5796" w14:textId="77777777" w:rsidR="00B32C9A" w:rsidRPr="00AC4E41" w:rsidRDefault="00B32C9A" w:rsidP="00BB4A74">
            <w:pPr>
              <w:spacing w:line="240" w:lineRule="auto"/>
              <w:jc w:val="center"/>
            </w:pPr>
            <w:r w:rsidRPr="00AC4E41">
              <w:t>X</w:t>
            </w:r>
          </w:p>
        </w:tc>
        <w:tc>
          <w:tcPr>
            <w:tcW w:w="1280" w:type="dxa"/>
            <w:shd w:val="clear" w:color="auto" w:fill="E0EDE7" w:themeFill="accent3" w:themeFillTint="33"/>
          </w:tcPr>
          <w:p w14:paraId="562FEA29" w14:textId="77777777" w:rsidR="00B32C9A" w:rsidRPr="00AC4E41" w:rsidRDefault="00B32C9A" w:rsidP="00BB4A74">
            <w:pPr>
              <w:spacing w:line="240" w:lineRule="auto"/>
              <w:jc w:val="center"/>
            </w:pPr>
          </w:p>
        </w:tc>
      </w:tr>
      <w:tr w:rsidR="00B32C9A" w:rsidRPr="00412F9A" w14:paraId="46E4A5F3" w14:textId="77777777" w:rsidTr="00BB4A74">
        <w:trPr>
          <w:trHeight w:val="239"/>
        </w:trPr>
        <w:tc>
          <w:tcPr>
            <w:tcW w:w="1172" w:type="dxa"/>
            <w:shd w:val="clear" w:color="auto" w:fill="E0EDE7" w:themeFill="accent3" w:themeFillTint="33"/>
          </w:tcPr>
          <w:p w14:paraId="6599AD28" w14:textId="77777777" w:rsidR="00B32C9A" w:rsidRPr="00AC4E41" w:rsidRDefault="00B32C9A" w:rsidP="00BB4A74">
            <w:pPr>
              <w:spacing w:before="120" w:line="240" w:lineRule="auto"/>
              <w:jc w:val="center"/>
            </w:pPr>
            <w:r w:rsidRPr="00AC4E41">
              <w:t>2.2.2</w:t>
            </w:r>
          </w:p>
        </w:tc>
        <w:tc>
          <w:tcPr>
            <w:tcW w:w="1042" w:type="dxa"/>
            <w:shd w:val="clear" w:color="auto" w:fill="E0EDE7" w:themeFill="accent3" w:themeFillTint="33"/>
          </w:tcPr>
          <w:p w14:paraId="5394B245" w14:textId="77777777" w:rsidR="00B32C9A" w:rsidRPr="00AC4E41" w:rsidRDefault="00B32C9A" w:rsidP="00BB4A74">
            <w:pPr>
              <w:spacing w:line="240" w:lineRule="auto"/>
              <w:jc w:val="center"/>
            </w:pPr>
          </w:p>
        </w:tc>
        <w:tc>
          <w:tcPr>
            <w:tcW w:w="739" w:type="dxa"/>
            <w:shd w:val="clear" w:color="auto" w:fill="E0EDE7" w:themeFill="accent3" w:themeFillTint="33"/>
          </w:tcPr>
          <w:p w14:paraId="0A87D9A3" w14:textId="77777777" w:rsidR="00B32C9A" w:rsidRPr="00AC4E41" w:rsidRDefault="00B32C9A" w:rsidP="00BB4A74">
            <w:pPr>
              <w:spacing w:line="240" w:lineRule="auto"/>
              <w:jc w:val="center"/>
            </w:pPr>
            <w:r w:rsidRPr="00AC4E41">
              <w:t>X</w:t>
            </w:r>
          </w:p>
        </w:tc>
        <w:tc>
          <w:tcPr>
            <w:tcW w:w="1280" w:type="dxa"/>
            <w:shd w:val="clear" w:color="auto" w:fill="E0EDE7" w:themeFill="accent3" w:themeFillTint="33"/>
          </w:tcPr>
          <w:p w14:paraId="18B4EA28" w14:textId="77777777" w:rsidR="00B32C9A" w:rsidRPr="00AC4E41" w:rsidRDefault="00B32C9A" w:rsidP="00BB4A74">
            <w:pPr>
              <w:spacing w:line="240" w:lineRule="auto"/>
              <w:jc w:val="center"/>
            </w:pPr>
          </w:p>
        </w:tc>
        <w:tc>
          <w:tcPr>
            <w:tcW w:w="332" w:type="dxa"/>
            <w:tcBorders>
              <w:top w:val="nil"/>
              <w:bottom w:val="nil"/>
            </w:tcBorders>
          </w:tcPr>
          <w:p w14:paraId="6F87ACE3" w14:textId="77777777" w:rsidR="00B32C9A" w:rsidRPr="00AC4E41" w:rsidRDefault="00B32C9A" w:rsidP="00BB4A74">
            <w:pPr>
              <w:spacing w:line="240" w:lineRule="auto"/>
              <w:jc w:val="center"/>
            </w:pPr>
          </w:p>
        </w:tc>
        <w:tc>
          <w:tcPr>
            <w:tcW w:w="1172" w:type="dxa"/>
            <w:shd w:val="clear" w:color="auto" w:fill="E0EDE7" w:themeFill="accent3" w:themeFillTint="33"/>
          </w:tcPr>
          <w:p w14:paraId="43006EAF" w14:textId="77777777" w:rsidR="00B32C9A" w:rsidRPr="00AC4E41" w:rsidRDefault="00B32C9A" w:rsidP="00BB4A74">
            <w:pPr>
              <w:spacing w:before="120" w:line="240" w:lineRule="auto"/>
              <w:jc w:val="center"/>
            </w:pPr>
            <w:r w:rsidRPr="00AC4E41">
              <w:t>2.7.4</w:t>
            </w:r>
          </w:p>
        </w:tc>
        <w:tc>
          <w:tcPr>
            <w:tcW w:w="1043" w:type="dxa"/>
            <w:shd w:val="clear" w:color="auto" w:fill="E0EDE7" w:themeFill="accent3" w:themeFillTint="33"/>
          </w:tcPr>
          <w:p w14:paraId="02A310E9" w14:textId="77777777" w:rsidR="00B32C9A" w:rsidRPr="00AC4E41" w:rsidRDefault="00B32C9A" w:rsidP="00BB4A74">
            <w:pPr>
              <w:spacing w:line="240" w:lineRule="auto"/>
              <w:jc w:val="center"/>
            </w:pPr>
          </w:p>
        </w:tc>
        <w:tc>
          <w:tcPr>
            <w:tcW w:w="740" w:type="dxa"/>
            <w:shd w:val="clear" w:color="auto" w:fill="E0EDE7" w:themeFill="accent3" w:themeFillTint="33"/>
          </w:tcPr>
          <w:p w14:paraId="44CC6C3F" w14:textId="77777777" w:rsidR="00B32C9A" w:rsidRPr="00AC4E41" w:rsidRDefault="00B32C9A" w:rsidP="00BB4A74">
            <w:pPr>
              <w:spacing w:line="240" w:lineRule="auto"/>
              <w:jc w:val="center"/>
            </w:pPr>
            <w:r w:rsidRPr="00AC4E41">
              <w:t>X</w:t>
            </w:r>
          </w:p>
        </w:tc>
        <w:tc>
          <w:tcPr>
            <w:tcW w:w="1280" w:type="dxa"/>
            <w:shd w:val="clear" w:color="auto" w:fill="E0EDE7" w:themeFill="accent3" w:themeFillTint="33"/>
          </w:tcPr>
          <w:p w14:paraId="7161902B" w14:textId="77777777" w:rsidR="00B32C9A" w:rsidRPr="00AC4E41" w:rsidRDefault="00B32C9A" w:rsidP="00BB4A74">
            <w:pPr>
              <w:spacing w:line="240" w:lineRule="auto"/>
              <w:jc w:val="center"/>
            </w:pPr>
          </w:p>
        </w:tc>
      </w:tr>
      <w:tr w:rsidR="00B32C9A" w:rsidRPr="00412F9A" w14:paraId="2BF88992" w14:textId="77777777" w:rsidTr="00BB4A74">
        <w:trPr>
          <w:trHeight w:val="397"/>
        </w:trPr>
        <w:tc>
          <w:tcPr>
            <w:tcW w:w="1172" w:type="dxa"/>
            <w:shd w:val="clear" w:color="auto" w:fill="E0EDE7" w:themeFill="accent3" w:themeFillTint="33"/>
          </w:tcPr>
          <w:p w14:paraId="4CBF3D82" w14:textId="77777777" w:rsidR="00B32C9A" w:rsidRPr="00412F9A" w:rsidRDefault="00B32C9A" w:rsidP="00BB4A74">
            <w:pPr>
              <w:spacing w:before="120" w:line="240" w:lineRule="auto"/>
              <w:jc w:val="center"/>
            </w:pPr>
            <w:r w:rsidRPr="00412F9A">
              <w:t>2.2.3</w:t>
            </w:r>
          </w:p>
        </w:tc>
        <w:tc>
          <w:tcPr>
            <w:tcW w:w="1042" w:type="dxa"/>
            <w:shd w:val="clear" w:color="auto" w:fill="E0EDE7" w:themeFill="accent3" w:themeFillTint="33"/>
          </w:tcPr>
          <w:p w14:paraId="5FA78316" w14:textId="77777777" w:rsidR="00B32C9A" w:rsidRPr="00412F9A" w:rsidRDefault="00B32C9A" w:rsidP="00BB4A74">
            <w:pPr>
              <w:spacing w:line="240" w:lineRule="auto"/>
              <w:jc w:val="center"/>
            </w:pPr>
          </w:p>
        </w:tc>
        <w:tc>
          <w:tcPr>
            <w:tcW w:w="739" w:type="dxa"/>
            <w:shd w:val="clear" w:color="auto" w:fill="E0EDE7" w:themeFill="accent3" w:themeFillTint="33"/>
          </w:tcPr>
          <w:p w14:paraId="385CBB2F" w14:textId="77777777" w:rsidR="00B32C9A" w:rsidRPr="00412F9A" w:rsidRDefault="00B32C9A" w:rsidP="00BB4A74">
            <w:pPr>
              <w:spacing w:line="240" w:lineRule="auto"/>
              <w:jc w:val="center"/>
            </w:pPr>
            <w:r>
              <w:t>X</w:t>
            </w:r>
          </w:p>
        </w:tc>
        <w:tc>
          <w:tcPr>
            <w:tcW w:w="1280" w:type="dxa"/>
            <w:shd w:val="clear" w:color="auto" w:fill="E0EDE7" w:themeFill="accent3" w:themeFillTint="33"/>
          </w:tcPr>
          <w:p w14:paraId="5885CBE5" w14:textId="77777777" w:rsidR="00B32C9A" w:rsidRPr="00412F9A" w:rsidRDefault="00B32C9A" w:rsidP="00BB4A74">
            <w:pPr>
              <w:spacing w:line="240" w:lineRule="auto"/>
              <w:jc w:val="center"/>
            </w:pPr>
          </w:p>
        </w:tc>
        <w:tc>
          <w:tcPr>
            <w:tcW w:w="332" w:type="dxa"/>
            <w:tcBorders>
              <w:top w:val="nil"/>
              <w:bottom w:val="nil"/>
            </w:tcBorders>
          </w:tcPr>
          <w:p w14:paraId="1FEBF785" w14:textId="77777777" w:rsidR="00B32C9A" w:rsidRPr="00412F9A" w:rsidRDefault="00B32C9A" w:rsidP="00BB4A74">
            <w:pPr>
              <w:spacing w:line="240" w:lineRule="auto"/>
              <w:jc w:val="center"/>
            </w:pPr>
          </w:p>
        </w:tc>
        <w:tc>
          <w:tcPr>
            <w:tcW w:w="1172" w:type="dxa"/>
            <w:shd w:val="clear" w:color="auto" w:fill="E0EDE7" w:themeFill="accent3" w:themeFillTint="33"/>
          </w:tcPr>
          <w:p w14:paraId="3A836F4D" w14:textId="77777777" w:rsidR="00B32C9A" w:rsidRPr="00412F9A" w:rsidRDefault="00B32C9A" w:rsidP="00BB4A74">
            <w:pPr>
              <w:spacing w:before="120" w:line="240" w:lineRule="auto"/>
              <w:jc w:val="center"/>
            </w:pPr>
            <w:r w:rsidRPr="00412F9A">
              <w:t>2.7.5</w:t>
            </w:r>
          </w:p>
        </w:tc>
        <w:tc>
          <w:tcPr>
            <w:tcW w:w="1043" w:type="dxa"/>
            <w:shd w:val="clear" w:color="auto" w:fill="E0EDE7" w:themeFill="accent3" w:themeFillTint="33"/>
          </w:tcPr>
          <w:p w14:paraId="5F51A979" w14:textId="77777777" w:rsidR="00B32C9A" w:rsidRPr="00412F9A" w:rsidRDefault="00B32C9A" w:rsidP="00BB4A74">
            <w:pPr>
              <w:spacing w:line="240" w:lineRule="auto"/>
              <w:jc w:val="center"/>
            </w:pPr>
          </w:p>
        </w:tc>
        <w:tc>
          <w:tcPr>
            <w:tcW w:w="740" w:type="dxa"/>
            <w:shd w:val="clear" w:color="auto" w:fill="E0EDE7" w:themeFill="accent3" w:themeFillTint="33"/>
          </w:tcPr>
          <w:p w14:paraId="5ADF7241" w14:textId="77777777" w:rsidR="00B32C9A" w:rsidRPr="00412F9A" w:rsidRDefault="00B32C9A" w:rsidP="00BB4A74">
            <w:pPr>
              <w:spacing w:line="240" w:lineRule="auto"/>
              <w:jc w:val="center"/>
            </w:pPr>
            <w:r>
              <w:t>X</w:t>
            </w:r>
          </w:p>
        </w:tc>
        <w:tc>
          <w:tcPr>
            <w:tcW w:w="1280" w:type="dxa"/>
            <w:shd w:val="clear" w:color="auto" w:fill="E0EDE7" w:themeFill="accent3" w:themeFillTint="33"/>
          </w:tcPr>
          <w:p w14:paraId="492F05A6" w14:textId="77777777" w:rsidR="00B32C9A" w:rsidRPr="00412F9A" w:rsidRDefault="00B32C9A" w:rsidP="00BB4A74">
            <w:pPr>
              <w:spacing w:line="240" w:lineRule="auto"/>
              <w:jc w:val="center"/>
            </w:pPr>
          </w:p>
        </w:tc>
      </w:tr>
      <w:tr w:rsidR="00B32C9A" w:rsidRPr="00412F9A" w14:paraId="2B6FEEA0" w14:textId="77777777" w:rsidTr="00BB4A74">
        <w:trPr>
          <w:trHeight w:val="397"/>
        </w:trPr>
        <w:tc>
          <w:tcPr>
            <w:tcW w:w="1172" w:type="dxa"/>
            <w:shd w:val="clear" w:color="auto" w:fill="E0EDE7" w:themeFill="accent3" w:themeFillTint="33"/>
          </w:tcPr>
          <w:p w14:paraId="78C27ED3" w14:textId="77777777" w:rsidR="00B32C9A" w:rsidRPr="00412F9A" w:rsidRDefault="00B32C9A" w:rsidP="00BB4A74">
            <w:pPr>
              <w:spacing w:before="120" w:line="240" w:lineRule="auto"/>
              <w:jc w:val="center"/>
            </w:pPr>
            <w:r w:rsidRPr="00412F9A">
              <w:t>2.2.4</w:t>
            </w:r>
          </w:p>
        </w:tc>
        <w:tc>
          <w:tcPr>
            <w:tcW w:w="1042" w:type="dxa"/>
            <w:shd w:val="clear" w:color="auto" w:fill="E0EDE7" w:themeFill="accent3" w:themeFillTint="33"/>
          </w:tcPr>
          <w:p w14:paraId="58886E38" w14:textId="77777777" w:rsidR="00B32C9A" w:rsidRPr="00412F9A" w:rsidRDefault="00B32C9A" w:rsidP="00BB4A74">
            <w:pPr>
              <w:spacing w:line="240" w:lineRule="auto"/>
              <w:jc w:val="center"/>
            </w:pPr>
          </w:p>
        </w:tc>
        <w:tc>
          <w:tcPr>
            <w:tcW w:w="739" w:type="dxa"/>
            <w:shd w:val="clear" w:color="auto" w:fill="E0EDE7" w:themeFill="accent3" w:themeFillTint="33"/>
          </w:tcPr>
          <w:p w14:paraId="04F94712" w14:textId="77777777" w:rsidR="00B32C9A" w:rsidRPr="00412F9A" w:rsidRDefault="00B32C9A" w:rsidP="00BB4A74">
            <w:pPr>
              <w:spacing w:line="240" w:lineRule="auto"/>
              <w:jc w:val="center"/>
            </w:pPr>
            <w:r>
              <w:t>X</w:t>
            </w:r>
          </w:p>
        </w:tc>
        <w:tc>
          <w:tcPr>
            <w:tcW w:w="1280" w:type="dxa"/>
            <w:shd w:val="clear" w:color="auto" w:fill="E0EDE7" w:themeFill="accent3" w:themeFillTint="33"/>
          </w:tcPr>
          <w:p w14:paraId="6A282027" w14:textId="77777777" w:rsidR="00B32C9A" w:rsidRPr="00412F9A" w:rsidRDefault="00B32C9A" w:rsidP="00BB4A74">
            <w:pPr>
              <w:spacing w:line="240" w:lineRule="auto"/>
              <w:jc w:val="center"/>
            </w:pPr>
          </w:p>
        </w:tc>
        <w:tc>
          <w:tcPr>
            <w:tcW w:w="332" w:type="dxa"/>
            <w:tcBorders>
              <w:top w:val="nil"/>
              <w:bottom w:val="nil"/>
            </w:tcBorders>
          </w:tcPr>
          <w:p w14:paraId="2066753A" w14:textId="77777777" w:rsidR="00B32C9A" w:rsidRPr="00412F9A" w:rsidRDefault="00B32C9A" w:rsidP="00BB4A74">
            <w:pPr>
              <w:spacing w:line="240" w:lineRule="auto"/>
              <w:jc w:val="center"/>
            </w:pPr>
          </w:p>
        </w:tc>
        <w:tc>
          <w:tcPr>
            <w:tcW w:w="1172" w:type="dxa"/>
            <w:tcBorders>
              <w:bottom w:val="single" w:sz="4" w:space="0" w:color="auto"/>
            </w:tcBorders>
            <w:shd w:val="clear" w:color="auto" w:fill="E0EDE7" w:themeFill="accent3" w:themeFillTint="33"/>
          </w:tcPr>
          <w:p w14:paraId="15ABEB9E" w14:textId="77777777" w:rsidR="00B32C9A" w:rsidRPr="00412F9A" w:rsidRDefault="00B32C9A" w:rsidP="00BB4A74">
            <w:pPr>
              <w:spacing w:before="120" w:line="240" w:lineRule="auto"/>
              <w:jc w:val="center"/>
            </w:pPr>
            <w:r w:rsidRPr="00412F9A">
              <w:t>2.8.1</w:t>
            </w:r>
          </w:p>
        </w:tc>
        <w:tc>
          <w:tcPr>
            <w:tcW w:w="1043" w:type="dxa"/>
            <w:tcBorders>
              <w:bottom w:val="single" w:sz="4" w:space="0" w:color="auto"/>
            </w:tcBorders>
            <w:shd w:val="clear" w:color="auto" w:fill="E0EDE7" w:themeFill="accent3" w:themeFillTint="33"/>
          </w:tcPr>
          <w:p w14:paraId="7F7AD30D" w14:textId="77777777" w:rsidR="00B32C9A" w:rsidRPr="00412F9A" w:rsidRDefault="00B32C9A" w:rsidP="00BB4A74">
            <w:pPr>
              <w:spacing w:line="240" w:lineRule="auto"/>
              <w:jc w:val="center"/>
            </w:pPr>
            <w:r>
              <w:t>X</w:t>
            </w:r>
          </w:p>
        </w:tc>
        <w:tc>
          <w:tcPr>
            <w:tcW w:w="740" w:type="dxa"/>
            <w:tcBorders>
              <w:bottom w:val="single" w:sz="4" w:space="0" w:color="auto"/>
            </w:tcBorders>
            <w:shd w:val="clear" w:color="auto" w:fill="E0EDE7" w:themeFill="accent3" w:themeFillTint="33"/>
          </w:tcPr>
          <w:p w14:paraId="25FFA4F1" w14:textId="77777777" w:rsidR="00B32C9A" w:rsidRPr="00412F9A" w:rsidRDefault="00B32C9A" w:rsidP="00BB4A74">
            <w:pPr>
              <w:spacing w:line="240" w:lineRule="auto"/>
              <w:jc w:val="center"/>
            </w:pPr>
          </w:p>
        </w:tc>
        <w:tc>
          <w:tcPr>
            <w:tcW w:w="1280" w:type="dxa"/>
            <w:tcBorders>
              <w:bottom w:val="single" w:sz="4" w:space="0" w:color="auto"/>
            </w:tcBorders>
            <w:shd w:val="clear" w:color="auto" w:fill="E0EDE7" w:themeFill="accent3" w:themeFillTint="33"/>
          </w:tcPr>
          <w:p w14:paraId="5B6777E8" w14:textId="77777777" w:rsidR="00B32C9A" w:rsidRPr="00412F9A" w:rsidRDefault="00B32C9A" w:rsidP="00BB4A74">
            <w:pPr>
              <w:spacing w:line="240" w:lineRule="auto"/>
              <w:jc w:val="center"/>
            </w:pPr>
          </w:p>
        </w:tc>
      </w:tr>
      <w:tr w:rsidR="00B32C9A" w:rsidRPr="00412F9A" w14:paraId="1C6B15DD" w14:textId="77777777" w:rsidTr="00BB4A74">
        <w:trPr>
          <w:trHeight w:val="397"/>
        </w:trPr>
        <w:tc>
          <w:tcPr>
            <w:tcW w:w="1172" w:type="dxa"/>
            <w:shd w:val="clear" w:color="auto" w:fill="E0EDE7" w:themeFill="accent3" w:themeFillTint="33"/>
          </w:tcPr>
          <w:p w14:paraId="002246D2" w14:textId="77777777" w:rsidR="00B32C9A" w:rsidRPr="00412F9A" w:rsidRDefault="00B32C9A" w:rsidP="00BB4A74">
            <w:pPr>
              <w:spacing w:before="120" w:line="240" w:lineRule="auto"/>
              <w:jc w:val="center"/>
            </w:pPr>
            <w:r w:rsidRPr="00412F9A">
              <w:t>2.2.5</w:t>
            </w:r>
          </w:p>
        </w:tc>
        <w:tc>
          <w:tcPr>
            <w:tcW w:w="1042" w:type="dxa"/>
            <w:shd w:val="clear" w:color="auto" w:fill="E0EDE7" w:themeFill="accent3" w:themeFillTint="33"/>
          </w:tcPr>
          <w:p w14:paraId="3E039FD6" w14:textId="77777777" w:rsidR="00B32C9A" w:rsidRPr="00412F9A" w:rsidRDefault="00B32C9A" w:rsidP="00BB4A74">
            <w:pPr>
              <w:spacing w:line="240" w:lineRule="auto"/>
              <w:jc w:val="center"/>
            </w:pPr>
          </w:p>
        </w:tc>
        <w:tc>
          <w:tcPr>
            <w:tcW w:w="739" w:type="dxa"/>
            <w:shd w:val="clear" w:color="auto" w:fill="E0EDE7" w:themeFill="accent3" w:themeFillTint="33"/>
          </w:tcPr>
          <w:p w14:paraId="2C179B67" w14:textId="77777777" w:rsidR="00B32C9A" w:rsidRPr="00412F9A" w:rsidRDefault="00B32C9A" w:rsidP="00BB4A74">
            <w:pPr>
              <w:spacing w:line="240" w:lineRule="auto"/>
              <w:jc w:val="center"/>
            </w:pPr>
            <w:r>
              <w:t>X</w:t>
            </w:r>
          </w:p>
        </w:tc>
        <w:tc>
          <w:tcPr>
            <w:tcW w:w="1280" w:type="dxa"/>
            <w:shd w:val="clear" w:color="auto" w:fill="E0EDE7" w:themeFill="accent3" w:themeFillTint="33"/>
          </w:tcPr>
          <w:p w14:paraId="20B18B4C" w14:textId="77777777" w:rsidR="00B32C9A" w:rsidRPr="00412F9A" w:rsidRDefault="00B32C9A" w:rsidP="00BB4A74">
            <w:pPr>
              <w:spacing w:line="240" w:lineRule="auto"/>
              <w:jc w:val="center"/>
            </w:pPr>
          </w:p>
        </w:tc>
        <w:tc>
          <w:tcPr>
            <w:tcW w:w="332" w:type="dxa"/>
            <w:tcBorders>
              <w:top w:val="nil"/>
              <w:bottom w:val="nil"/>
              <w:right w:val="single" w:sz="4" w:space="0" w:color="auto"/>
            </w:tcBorders>
          </w:tcPr>
          <w:p w14:paraId="5639A405" w14:textId="77777777" w:rsidR="00B32C9A" w:rsidRPr="00412F9A" w:rsidRDefault="00B32C9A" w:rsidP="00BB4A74">
            <w:pPr>
              <w:spacing w:line="240" w:lineRule="auto"/>
              <w:jc w:val="center"/>
            </w:pPr>
          </w:p>
        </w:tc>
        <w:tc>
          <w:tcPr>
            <w:tcW w:w="1172" w:type="dxa"/>
            <w:tcBorders>
              <w:left w:val="single" w:sz="4" w:space="0" w:color="auto"/>
              <w:bottom w:val="single" w:sz="4" w:space="0" w:color="auto"/>
              <w:right w:val="single" w:sz="4" w:space="0" w:color="auto"/>
            </w:tcBorders>
            <w:shd w:val="clear" w:color="auto" w:fill="E0EDE7" w:themeFill="accent3" w:themeFillTint="33"/>
          </w:tcPr>
          <w:p w14:paraId="7C56439B" w14:textId="77777777" w:rsidR="00B32C9A" w:rsidRPr="00412F9A" w:rsidRDefault="00B32C9A" w:rsidP="00BB4A74">
            <w:pPr>
              <w:spacing w:before="120" w:line="240" w:lineRule="auto"/>
              <w:jc w:val="center"/>
            </w:pPr>
            <w:r w:rsidRPr="00412F9A">
              <w:t>2.9.1</w:t>
            </w:r>
          </w:p>
        </w:tc>
        <w:tc>
          <w:tcPr>
            <w:tcW w:w="1043" w:type="dxa"/>
            <w:tcBorders>
              <w:left w:val="single" w:sz="4" w:space="0" w:color="auto"/>
              <w:bottom w:val="single" w:sz="4" w:space="0" w:color="auto"/>
              <w:right w:val="single" w:sz="4" w:space="0" w:color="auto"/>
            </w:tcBorders>
            <w:shd w:val="clear" w:color="auto" w:fill="E0EDE7" w:themeFill="accent3" w:themeFillTint="33"/>
          </w:tcPr>
          <w:p w14:paraId="146C91D0" w14:textId="77777777" w:rsidR="00B32C9A" w:rsidRPr="00412F9A" w:rsidRDefault="00B32C9A" w:rsidP="00BB4A74">
            <w:pPr>
              <w:spacing w:line="240" w:lineRule="auto"/>
              <w:jc w:val="center"/>
            </w:pPr>
          </w:p>
        </w:tc>
        <w:tc>
          <w:tcPr>
            <w:tcW w:w="740" w:type="dxa"/>
            <w:tcBorders>
              <w:left w:val="single" w:sz="4" w:space="0" w:color="auto"/>
              <w:bottom w:val="single" w:sz="4" w:space="0" w:color="auto"/>
              <w:right w:val="single" w:sz="4" w:space="0" w:color="auto"/>
            </w:tcBorders>
            <w:shd w:val="clear" w:color="auto" w:fill="E0EDE7" w:themeFill="accent3" w:themeFillTint="33"/>
          </w:tcPr>
          <w:p w14:paraId="24229FD2" w14:textId="77777777" w:rsidR="00B32C9A" w:rsidRPr="00412F9A" w:rsidRDefault="00B32C9A" w:rsidP="00BB4A74">
            <w:pPr>
              <w:spacing w:line="240" w:lineRule="auto"/>
              <w:jc w:val="center"/>
            </w:pPr>
            <w:r>
              <w:t>X</w:t>
            </w:r>
          </w:p>
        </w:tc>
        <w:tc>
          <w:tcPr>
            <w:tcW w:w="1280" w:type="dxa"/>
            <w:tcBorders>
              <w:left w:val="single" w:sz="4" w:space="0" w:color="auto"/>
              <w:bottom w:val="single" w:sz="4" w:space="0" w:color="auto"/>
              <w:right w:val="single" w:sz="4" w:space="0" w:color="auto"/>
            </w:tcBorders>
            <w:shd w:val="clear" w:color="auto" w:fill="E0EDE7" w:themeFill="accent3" w:themeFillTint="33"/>
          </w:tcPr>
          <w:p w14:paraId="5F5A0B29" w14:textId="77777777" w:rsidR="00B32C9A" w:rsidRPr="00412F9A" w:rsidRDefault="00B32C9A" w:rsidP="00BB4A74">
            <w:pPr>
              <w:spacing w:line="240" w:lineRule="auto"/>
              <w:jc w:val="center"/>
            </w:pPr>
          </w:p>
        </w:tc>
      </w:tr>
      <w:tr w:rsidR="00B32C9A" w:rsidRPr="00412F9A" w14:paraId="55AA0E32" w14:textId="77777777" w:rsidTr="00BB4A74">
        <w:trPr>
          <w:trHeight w:val="397"/>
        </w:trPr>
        <w:tc>
          <w:tcPr>
            <w:tcW w:w="1172" w:type="dxa"/>
            <w:shd w:val="clear" w:color="auto" w:fill="E0EDE7" w:themeFill="accent3" w:themeFillTint="33"/>
          </w:tcPr>
          <w:p w14:paraId="53327D53" w14:textId="77777777" w:rsidR="00B32C9A" w:rsidRPr="00412F9A" w:rsidRDefault="00B32C9A" w:rsidP="00BB4A74">
            <w:pPr>
              <w:spacing w:before="120" w:line="240" w:lineRule="auto"/>
              <w:jc w:val="center"/>
            </w:pPr>
            <w:r w:rsidRPr="00412F9A">
              <w:t>2.2.6</w:t>
            </w:r>
          </w:p>
        </w:tc>
        <w:tc>
          <w:tcPr>
            <w:tcW w:w="1042" w:type="dxa"/>
            <w:shd w:val="clear" w:color="auto" w:fill="E0EDE7" w:themeFill="accent3" w:themeFillTint="33"/>
          </w:tcPr>
          <w:p w14:paraId="52FEC247" w14:textId="77777777" w:rsidR="00B32C9A" w:rsidRPr="00412F9A" w:rsidRDefault="00B32C9A" w:rsidP="00BB4A74">
            <w:pPr>
              <w:spacing w:line="240" w:lineRule="auto"/>
              <w:jc w:val="center"/>
            </w:pPr>
          </w:p>
        </w:tc>
        <w:tc>
          <w:tcPr>
            <w:tcW w:w="739" w:type="dxa"/>
            <w:shd w:val="clear" w:color="auto" w:fill="E0EDE7" w:themeFill="accent3" w:themeFillTint="33"/>
          </w:tcPr>
          <w:p w14:paraId="126FF191" w14:textId="77777777" w:rsidR="00B32C9A" w:rsidRPr="00412F9A" w:rsidRDefault="00B32C9A" w:rsidP="00BB4A74">
            <w:pPr>
              <w:spacing w:line="240" w:lineRule="auto"/>
              <w:jc w:val="center"/>
            </w:pPr>
            <w:r>
              <w:t>X</w:t>
            </w:r>
          </w:p>
        </w:tc>
        <w:tc>
          <w:tcPr>
            <w:tcW w:w="1280" w:type="dxa"/>
            <w:shd w:val="clear" w:color="auto" w:fill="E0EDE7" w:themeFill="accent3" w:themeFillTint="33"/>
          </w:tcPr>
          <w:p w14:paraId="6B92FDFF" w14:textId="77777777" w:rsidR="00B32C9A" w:rsidRPr="00412F9A" w:rsidRDefault="00B32C9A" w:rsidP="00BB4A74">
            <w:pPr>
              <w:spacing w:line="240" w:lineRule="auto"/>
              <w:jc w:val="center"/>
            </w:pPr>
          </w:p>
        </w:tc>
        <w:tc>
          <w:tcPr>
            <w:tcW w:w="332" w:type="dxa"/>
            <w:tcBorders>
              <w:top w:val="nil"/>
              <w:bottom w:val="nil"/>
              <w:right w:val="single" w:sz="4" w:space="0" w:color="auto"/>
            </w:tcBorders>
          </w:tcPr>
          <w:p w14:paraId="012713EE" w14:textId="77777777" w:rsidR="00B32C9A" w:rsidRPr="00412F9A" w:rsidRDefault="00B32C9A" w:rsidP="00BB4A74">
            <w:pPr>
              <w:spacing w:line="240" w:lineRule="auto"/>
              <w:jc w:val="center"/>
            </w:pPr>
          </w:p>
        </w:tc>
        <w:tc>
          <w:tcPr>
            <w:tcW w:w="1172"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53344157" w14:textId="77777777" w:rsidR="00B32C9A" w:rsidRPr="00412F9A" w:rsidRDefault="00B32C9A" w:rsidP="00BB4A74">
            <w:pPr>
              <w:spacing w:before="120" w:line="240" w:lineRule="auto"/>
              <w:jc w:val="center"/>
            </w:pPr>
            <w:r w:rsidRPr="00412F9A">
              <w:t>2.9.2</w:t>
            </w:r>
          </w:p>
        </w:tc>
        <w:tc>
          <w:tcPr>
            <w:tcW w:w="1043"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16BB8312" w14:textId="77777777" w:rsidR="00B32C9A" w:rsidRPr="00412F9A" w:rsidRDefault="00B32C9A" w:rsidP="00BB4A74">
            <w:pPr>
              <w:spacing w:line="240" w:lineRule="auto"/>
              <w:jc w:val="center"/>
            </w:pPr>
          </w:p>
        </w:tc>
        <w:tc>
          <w:tcPr>
            <w:tcW w:w="740"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32A00E06" w14:textId="77777777" w:rsidR="00B32C9A" w:rsidRPr="00412F9A" w:rsidRDefault="00B32C9A" w:rsidP="00BB4A74">
            <w:pPr>
              <w:spacing w:line="240" w:lineRule="auto"/>
              <w:jc w:val="center"/>
            </w:pPr>
            <w:r>
              <w:t>X</w:t>
            </w:r>
          </w:p>
        </w:tc>
        <w:tc>
          <w:tcPr>
            <w:tcW w:w="1280"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4146D6C5" w14:textId="77777777" w:rsidR="00B32C9A" w:rsidRPr="00412F9A" w:rsidRDefault="00B32C9A" w:rsidP="00BB4A74">
            <w:pPr>
              <w:spacing w:line="240" w:lineRule="auto"/>
              <w:jc w:val="center"/>
            </w:pPr>
          </w:p>
        </w:tc>
      </w:tr>
      <w:tr w:rsidR="00B32C9A" w:rsidRPr="00412F9A" w14:paraId="477AD818" w14:textId="77777777" w:rsidTr="00BB4A74">
        <w:trPr>
          <w:trHeight w:val="397"/>
        </w:trPr>
        <w:tc>
          <w:tcPr>
            <w:tcW w:w="1172" w:type="dxa"/>
            <w:shd w:val="clear" w:color="auto" w:fill="E0EDE7" w:themeFill="accent3" w:themeFillTint="33"/>
          </w:tcPr>
          <w:p w14:paraId="77EF6AB4" w14:textId="77777777" w:rsidR="00B32C9A" w:rsidRPr="00412F9A" w:rsidRDefault="00B32C9A" w:rsidP="00BB4A74">
            <w:pPr>
              <w:spacing w:before="120" w:line="240" w:lineRule="auto"/>
              <w:jc w:val="center"/>
            </w:pPr>
            <w:r w:rsidRPr="00412F9A">
              <w:t>2.2.7</w:t>
            </w:r>
          </w:p>
        </w:tc>
        <w:tc>
          <w:tcPr>
            <w:tcW w:w="1042" w:type="dxa"/>
            <w:shd w:val="clear" w:color="auto" w:fill="E0EDE7" w:themeFill="accent3" w:themeFillTint="33"/>
          </w:tcPr>
          <w:p w14:paraId="36DD73BA" w14:textId="77777777" w:rsidR="00B32C9A" w:rsidRPr="00412F9A" w:rsidRDefault="00B32C9A" w:rsidP="00BB4A74">
            <w:pPr>
              <w:spacing w:line="240" w:lineRule="auto"/>
              <w:jc w:val="center"/>
            </w:pPr>
          </w:p>
        </w:tc>
        <w:tc>
          <w:tcPr>
            <w:tcW w:w="739" w:type="dxa"/>
            <w:shd w:val="clear" w:color="auto" w:fill="E0EDE7" w:themeFill="accent3" w:themeFillTint="33"/>
          </w:tcPr>
          <w:p w14:paraId="68AD759E" w14:textId="77777777" w:rsidR="00B32C9A" w:rsidRPr="00412F9A" w:rsidRDefault="00B32C9A" w:rsidP="00BB4A74">
            <w:pPr>
              <w:spacing w:line="240" w:lineRule="auto"/>
              <w:jc w:val="center"/>
            </w:pPr>
            <w:r>
              <w:t>X</w:t>
            </w:r>
          </w:p>
        </w:tc>
        <w:tc>
          <w:tcPr>
            <w:tcW w:w="1280" w:type="dxa"/>
            <w:shd w:val="clear" w:color="auto" w:fill="E0EDE7" w:themeFill="accent3" w:themeFillTint="33"/>
          </w:tcPr>
          <w:p w14:paraId="61862070" w14:textId="77777777" w:rsidR="00B32C9A" w:rsidRPr="00412F9A" w:rsidRDefault="00B32C9A" w:rsidP="00BB4A74">
            <w:pPr>
              <w:spacing w:line="240" w:lineRule="auto"/>
              <w:jc w:val="center"/>
            </w:pPr>
          </w:p>
        </w:tc>
        <w:tc>
          <w:tcPr>
            <w:tcW w:w="332" w:type="dxa"/>
            <w:tcBorders>
              <w:top w:val="nil"/>
              <w:bottom w:val="nil"/>
              <w:right w:val="single" w:sz="4" w:space="0" w:color="auto"/>
            </w:tcBorders>
          </w:tcPr>
          <w:p w14:paraId="7197540F" w14:textId="77777777" w:rsidR="00B32C9A" w:rsidRPr="00412F9A" w:rsidRDefault="00B32C9A" w:rsidP="00BB4A74">
            <w:pPr>
              <w:spacing w:line="240" w:lineRule="auto"/>
              <w:jc w:val="center"/>
            </w:pPr>
          </w:p>
        </w:tc>
        <w:tc>
          <w:tcPr>
            <w:tcW w:w="1172"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5580A874" w14:textId="77777777" w:rsidR="00B32C9A" w:rsidRPr="00412F9A" w:rsidRDefault="00B32C9A" w:rsidP="00BB4A74">
            <w:pPr>
              <w:spacing w:before="120" w:line="240" w:lineRule="auto"/>
              <w:jc w:val="center"/>
            </w:pPr>
            <w:r w:rsidRPr="00412F9A">
              <w:t>2.10.1</w:t>
            </w:r>
          </w:p>
        </w:tc>
        <w:tc>
          <w:tcPr>
            <w:tcW w:w="1043"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43CB3E49" w14:textId="77777777" w:rsidR="00B32C9A" w:rsidRPr="00412F9A" w:rsidRDefault="00B32C9A" w:rsidP="00BB4A74">
            <w:pPr>
              <w:spacing w:line="240" w:lineRule="auto"/>
              <w:jc w:val="center"/>
            </w:pPr>
          </w:p>
        </w:tc>
        <w:tc>
          <w:tcPr>
            <w:tcW w:w="740"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67214FAF" w14:textId="77777777" w:rsidR="00B32C9A" w:rsidRPr="00412F9A" w:rsidRDefault="00B32C9A" w:rsidP="00BB4A74">
            <w:pPr>
              <w:spacing w:line="240" w:lineRule="auto"/>
              <w:jc w:val="center"/>
            </w:pPr>
            <w:r>
              <w:t>X</w:t>
            </w:r>
          </w:p>
        </w:tc>
        <w:tc>
          <w:tcPr>
            <w:tcW w:w="1280"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03FACC43" w14:textId="77777777" w:rsidR="00B32C9A" w:rsidRPr="00412F9A" w:rsidRDefault="00B32C9A" w:rsidP="00BB4A74">
            <w:pPr>
              <w:spacing w:line="240" w:lineRule="auto"/>
              <w:jc w:val="center"/>
            </w:pPr>
          </w:p>
        </w:tc>
      </w:tr>
      <w:tr w:rsidR="00B32C9A" w:rsidRPr="00412F9A" w14:paraId="0043056C" w14:textId="77777777" w:rsidTr="00BB4A74">
        <w:trPr>
          <w:trHeight w:val="397"/>
        </w:trPr>
        <w:tc>
          <w:tcPr>
            <w:tcW w:w="1172" w:type="dxa"/>
            <w:shd w:val="clear" w:color="auto" w:fill="E0EDE7" w:themeFill="accent3" w:themeFillTint="33"/>
          </w:tcPr>
          <w:p w14:paraId="4EC0DB92" w14:textId="77777777" w:rsidR="00B32C9A" w:rsidRPr="00412F9A" w:rsidRDefault="00B32C9A" w:rsidP="00BB4A74">
            <w:pPr>
              <w:spacing w:before="120" w:line="240" w:lineRule="auto"/>
              <w:jc w:val="center"/>
            </w:pPr>
            <w:r w:rsidRPr="00412F9A">
              <w:t>2.2.8</w:t>
            </w:r>
          </w:p>
        </w:tc>
        <w:tc>
          <w:tcPr>
            <w:tcW w:w="1042" w:type="dxa"/>
            <w:shd w:val="clear" w:color="auto" w:fill="E0EDE7" w:themeFill="accent3" w:themeFillTint="33"/>
          </w:tcPr>
          <w:p w14:paraId="57B45B7C" w14:textId="77777777" w:rsidR="00B32C9A" w:rsidRPr="00412F9A" w:rsidRDefault="00B32C9A" w:rsidP="00BB4A74">
            <w:pPr>
              <w:spacing w:line="240" w:lineRule="auto"/>
              <w:jc w:val="center"/>
            </w:pPr>
          </w:p>
        </w:tc>
        <w:tc>
          <w:tcPr>
            <w:tcW w:w="739" w:type="dxa"/>
            <w:shd w:val="clear" w:color="auto" w:fill="E0EDE7" w:themeFill="accent3" w:themeFillTint="33"/>
          </w:tcPr>
          <w:p w14:paraId="3D269005" w14:textId="77777777" w:rsidR="00B32C9A" w:rsidRPr="00412F9A" w:rsidRDefault="00B32C9A" w:rsidP="00BB4A74">
            <w:pPr>
              <w:spacing w:line="240" w:lineRule="auto"/>
              <w:jc w:val="center"/>
            </w:pPr>
            <w:r>
              <w:t>X</w:t>
            </w:r>
          </w:p>
        </w:tc>
        <w:tc>
          <w:tcPr>
            <w:tcW w:w="1280" w:type="dxa"/>
            <w:shd w:val="clear" w:color="auto" w:fill="E0EDE7" w:themeFill="accent3" w:themeFillTint="33"/>
          </w:tcPr>
          <w:p w14:paraId="0B6FDFD8" w14:textId="77777777" w:rsidR="00B32C9A" w:rsidRPr="00412F9A" w:rsidRDefault="00B32C9A" w:rsidP="00BB4A74">
            <w:pPr>
              <w:spacing w:line="240" w:lineRule="auto"/>
              <w:jc w:val="center"/>
            </w:pPr>
          </w:p>
        </w:tc>
        <w:tc>
          <w:tcPr>
            <w:tcW w:w="332" w:type="dxa"/>
            <w:tcBorders>
              <w:top w:val="nil"/>
              <w:bottom w:val="nil"/>
              <w:right w:val="nil"/>
            </w:tcBorders>
          </w:tcPr>
          <w:p w14:paraId="5DEB14A5" w14:textId="77777777" w:rsidR="00B32C9A" w:rsidRPr="00412F9A" w:rsidRDefault="00B32C9A" w:rsidP="00BB4A74">
            <w:pPr>
              <w:spacing w:line="240" w:lineRule="auto"/>
              <w:jc w:val="center"/>
            </w:pPr>
          </w:p>
        </w:tc>
        <w:tc>
          <w:tcPr>
            <w:tcW w:w="1172" w:type="dxa"/>
            <w:tcBorders>
              <w:top w:val="single" w:sz="4" w:space="0" w:color="auto"/>
              <w:left w:val="nil"/>
              <w:bottom w:val="nil"/>
              <w:right w:val="nil"/>
            </w:tcBorders>
            <w:shd w:val="clear" w:color="auto" w:fill="auto"/>
          </w:tcPr>
          <w:p w14:paraId="1E83DA1B" w14:textId="77777777" w:rsidR="00B32C9A" w:rsidRPr="00412F9A" w:rsidRDefault="00B32C9A" w:rsidP="00BB4A74">
            <w:pPr>
              <w:spacing w:before="120" w:line="240" w:lineRule="auto"/>
              <w:jc w:val="center"/>
            </w:pPr>
          </w:p>
        </w:tc>
        <w:tc>
          <w:tcPr>
            <w:tcW w:w="1043" w:type="dxa"/>
            <w:tcBorders>
              <w:top w:val="single" w:sz="4" w:space="0" w:color="auto"/>
              <w:left w:val="nil"/>
              <w:bottom w:val="nil"/>
              <w:right w:val="nil"/>
            </w:tcBorders>
            <w:shd w:val="clear" w:color="auto" w:fill="auto"/>
          </w:tcPr>
          <w:p w14:paraId="43530152" w14:textId="77777777" w:rsidR="00B32C9A" w:rsidRPr="00412F9A" w:rsidRDefault="00B32C9A" w:rsidP="00BB4A74">
            <w:pPr>
              <w:spacing w:line="240" w:lineRule="auto"/>
              <w:jc w:val="center"/>
            </w:pPr>
          </w:p>
        </w:tc>
        <w:tc>
          <w:tcPr>
            <w:tcW w:w="740" w:type="dxa"/>
            <w:tcBorders>
              <w:top w:val="single" w:sz="4" w:space="0" w:color="auto"/>
              <w:left w:val="nil"/>
              <w:bottom w:val="nil"/>
              <w:right w:val="nil"/>
            </w:tcBorders>
            <w:shd w:val="clear" w:color="auto" w:fill="auto"/>
          </w:tcPr>
          <w:p w14:paraId="62667384" w14:textId="77777777" w:rsidR="00B32C9A" w:rsidRPr="00412F9A" w:rsidRDefault="00B32C9A" w:rsidP="00BB4A74">
            <w:pPr>
              <w:spacing w:line="240" w:lineRule="auto"/>
              <w:jc w:val="center"/>
            </w:pPr>
          </w:p>
        </w:tc>
        <w:tc>
          <w:tcPr>
            <w:tcW w:w="1280" w:type="dxa"/>
            <w:tcBorders>
              <w:top w:val="single" w:sz="4" w:space="0" w:color="auto"/>
              <w:left w:val="nil"/>
              <w:bottom w:val="nil"/>
              <w:right w:val="nil"/>
            </w:tcBorders>
            <w:shd w:val="clear" w:color="auto" w:fill="auto"/>
          </w:tcPr>
          <w:p w14:paraId="0F6A68CC" w14:textId="77777777" w:rsidR="00B32C9A" w:rsidRPr="00412F9A" w:rsidRDefault="00B32C9A" w:rsidP="00BB4A74">
            <w:pPr>
              <w:spacing w:line="240" w:lineRule="auto"/>
              <w:jc w:val="center"/>
            </w:pPr>
          </w:p>
        </w:tc>
      </w:tr>
      <w:tr w:rsidR="00B32C9A" w:rsidRPr="00412F9A" w14:paraId="03FE0B01" w14:textId="77777777" w:rsidTr="00BB4A74">
        <w:trPr>
          <w:trHeight w:val="326"/>
        </w:trPr>
        <w:tc>
          <w:tcPr>
            <w:tcW w:w="1172" w:type="dxa"/>
            <w:shd w:val="clear" w:color="auto" w:fill="E0EDE7" w:themeFill="accent3" w:themeFillTint="33"/>
          </w:tcPr>
          <w:p w14:paraId="2633B343" w14:textId="77777777" w:rsidR="00B32C9A" w:rsidRPr="00412F9A" w:rsidRDefault="00B32C9A" w:rsidP="00BB4A74">
            <w:pPr>
              <w:spacing w:before="120" w:line="240" w:lineRule="auto"/>
              <w:jc w:val="center"/>
            </w:pPr>
            <w:r w:rsidRPr="00412F9A">
              <w:t>2.2.9</w:t>
            </w:r>
          </w:p>
        </w:tc>
        <w:tc>
          <w:tcPr>
            <w:tcW w:w="1042" w:type="dxa"/>
            <w:shd w:val="clear" w:color="auto" w:fill="E0EDE7" w:themeFill="accent3" w:themeFillTint="33"/>
          </w:tcPr>
          <w:p w14:paraId="2870DF91" w14:textId="77777777" w:rsidR="00B32C9A" w:rsidRPr="00412F9A" w:rsidRDefault="00B32C9A" w:rsidP="00BB4A74">
            <w:pPr>
              <w:spacing w:line="240" w:lineRule="auto"/>
              <w:jc w:val="center"/>
            </w:pPr>
          </w:p>
        </w:tc>
        <w:tc>
          <w:tcPr>
            <w:tcW w:w="739" w:type="dxa"/>
            <w:shd w:val="clear" w:color="auto" w:fill="E0EDE7" w:themeFill="accent3" w:themeFillTint="33"/>
          </w:tcPr>
          <w:p w14:paraId="0D3D97D1" w14:textId="77777777" w:rsidR="00B32C9A" w:rsidRPr="00412F9A" w:rsidRDefault="00B32C9A" w:rsidP="00BB4A74">
            <w:pPr>
              <w:spacing w:line="240" w:lineRule="auto"/>
              <w:jc w:val="center"/>
            </w:pPr>
            <w:r>
              <w:t>X</w:t>
            </w:r>
          </w:p>
        </w:tc>
        <w:tc>
          <w:tcPr>
            <w:tcW w:w="1280" w:type="dxa"/>
            <w:shd w:val="clear" w:color="auto" w:fill="E0EDE7" w:themeFill="accent3" w:themeFillTint="33"/>
          </w:tcPr>
          <w:p w14:paraId="0EF5F41C" w14:textId="77777777" w:rsidR="00B32C9A" w:rsidRPr="00412F9A" w:rsidRDefault="00B32C9A" w:rsidP="00BB4A74">
            <w:pPr>
              <w:spacing w:line="240" w:lineRule="auto"/>
              <w:jc w:val="center"/>
            </w:pPr>
          </w:p>
        </w:tc>
        <w:tc>
          <w:tcPr>
            <w:tcW w:w="332" w:type="dxa"/>
            <w:tcBorders>
              <w:top w:val="nil"/>
              <w:bottom w:val="nil"/>
              <w:right w:val="nil"/>
            </w:tcBorders>
          </w:tcPr>
          <w:p w14:paraId="0CA29F15" w14:textId="77777777" w:rsidR="00B32C9A" w:rsidRPr="00412F9A" w:rsidRDefault="00B32C9A" w:rsidP="00BB4A74">
            <w:pPr>
              <w:spacing w:line="240" w:lineRule="auto"/>
              <w:jc w:val="center"/>
            </w:pPr>
          </w:p>
        </w:tc>
        <w:tc>
          <w:tcPr>
            <w:tcW w:w="1172" w:type="dxa"/>
            <w:tcBorders>
              <w:top w:val="nil"/>
              <w:left w:val="nil"/>
              <w:bottom w:val="nil"/>
              <w:right w:val="nil"/>
            </w:tcBorders>
            <w:shd w:val="clear" w:color="auto" w:fill="auto"/>
          </w:tcPr>
          <w:p w14:paraId="55BD91FD" w14:textId="77777777" w:rsidR="00B32C9A" w:rsidRPr="00412F9A" w:rsidRDefault="00B32C9A" w:rsidP="00BB4A74">
            <w:pPr>
              <w:spacing w:before="120" w:line="240" w:lineRule="auto"/>
              <w:jc w:val="center"/>
            </w:pPr>
          </w:p>
        </w:tc>
        <w:tc>
          <w:tcPr>
            <w:tcW w:w="1043" w:type="dxa"/>
            <w:tcBorders>
              <w:top w:val="nil"/>
              <w:left w:val="nil"/>
              <w:bottom w:val="nil"/>
              <w:right w:val="nil"/>
            </w:tcBorders>
            <w:shd w:val="clear" w:color="auto" w:fill="auto"/>
          </w:tcPr>
          <w:p w14:paraId="64967AF0" w14:textId="77777777" w:rsidR="00B32C9A" w:rsidRPr="00412F9A" w:rsidRDefault="00B32C9A" w:rsidP="00BB4A74">
            <w:pPr>
              <w:spacing w:line="240" w:lineRule="auto"/>
              <w:jc w:val="center"/>
            </w:pPr>
          </w:p>
        </w:tc>
        <w:tc>
          <w:tcPr>
            <w:tcW w:w="740" w:type="dxa"/>
            <w:tcBorders>
              <w:top w:val="nil"/>
              <w:left w:val="nil"/>
              <w:bottom w:val="nil"/>
              <w:right w:val="nil"/>
            </w:tcBorders>
            <w:shd w:val="clear" w:color="auto" w:fill="auto"/>
          </w:tcPr>
          <w:p w14:paraId="7BF735D5" w14:textId="77777777" w:rsidR="00B32C9A" w:rsidRPr="00412F9A" w:rsidRDefault="00B32C9A" w:rsidP="00BB4A74">
            <w:pPr>
              <w:spacing w:line="240" w:lineRule="auto"/>
              <w:jc w:val="center"/>
            </w:pPr>
          </w:p>
        </w:tc>
        <w:tc>
          <w:tcPr>
            <w:tcW w:w="1280" w:type="dxa"/>
            <w:tcBorders>
              <w:top w:val="nil"/>
              <w:left w:val="nil"/>
              <w:bottom w:val="nil"/>
              <w:right w:val="nil"/>
            </w:tcBorders>
            <w:shd w:val="clear" w:color="auto" w:fill="auto"/>
          </w:tcPr>
          <w:p w14:paraId="55D914C1" w14:textId="77777777" w:rsidR="00B32C9A" w:rsidRPr="00412F9A" w:rsidRDefault="00B32C9A" w:rsidP="00BB4A74">
            <w:pPr>
              <w:spacing w:line="240" w:lineRule="auto"/>
              <w:jc w:val="center"/>
            </w:pPr>
          </w:p>
        </w:tc>
      </w:tr>
    </w:tbl>
    <w:p w14:paraId="43F8E581" w14:textId="77777777" w:rsidR="00B32C9A" w:rsidRDefault="00B32C9A" w:rsidP="00B32C9A">
      <w:pPr>
        <w:jc w:val="center"/>
      </w:pPr>
    </w:p>
    <w:p w14:paraId="3E894BEC" w14:textId="77777777" w:rsidR="00B32C9A" w:rsidRDefault="00B32C9A" w:rsidP="00B32C9A">
      <w:pPr>
        <w:jc w:val="center"/>
      </w:pPr>
    </w:p>
    <w:p w14:paraId="34327035" w14:textId="77777777" w:rsidR="00B32C9A" w:rsidRDefault="00B32C9A" w:rsidP="00B32C9A"/>
    <w:p w14:paraId="0E076212" w14:textId="77777777" w:rsidR="00B32C9A" w:rsidRPr="00412F9A" w:rsidRDefault="00B32C9A" w:rsidP="00B32C9A">
      <w:r>
        <w:lastRenderedPageBreak/>
        <w:t>Table 2</w:t>
      </w:r>
      <w:r w:rsidRPr="00412F9A">
        <w:t xml:space="preserve">.  </w:t>
      </w:r>
      <w:r>
        <w:t xml:space="preserve">Overview of results from the risk assessment of all indicators </w:t>
      </w:r>
      <w:r w:rsidRPr="00412F9A">
        <w:t>(</w:t>
      </w:r>
      <w:r>
        <w:t xml:space="preserve">prior to </w:t>
      </w:r>
      <w:r w:rsidRPr="00412F9A">
        <w:t>SVP)</w:t>
      </w:r>
      <w:r>
        <w:t xml:space="preserve"> - Lithuania</w:t>
      </w:r>
    </w:p>
    <w:tbl>
      <w:tblPr>
        <w:tblStyle w:val="Reatabula"/>
        <w:tblW w:w="8948" w:type="dxa"/>
        <w:tblInd w:w="828" w:type="dxa"/>
        <w:tblLook w:val="04A0" w:firstRow="1" w:lastRow="0" w:firstColumn="1" w:lastColumn="0" w:noHBand="0" w:noVBand="1"/>
      </w:tblPr>
      <w:tblGrid>
        <w:gridCol w:w="1061"/>
        <w:gridCol w:w="1106"/>
        <w:gridCol w:w="713"/>
        <w:gridCol w:w="1350"/>
        <w:gridCol w:w="324"/>
        <w:gridCol w:w="1134"/>
        <w:gridCol w:w="1160"/>
        <w:gridCol w:w="721"/>
        <w:gridCol w:w="1379"/>
      </w:tblGrid>
      <w:tr w:rsidR="00B32C9A" w:rsidRPr="00412F9A" w14:paraId="1CF6DA01" w14:textId="77777777" w:rsidTr="00BB4A74">
        <w:trPr>
          <w:trHeight w:val="397"/>
        </w:trPr>
        <w:tc>
          <w:tcPr>
            <w:tcW w:w="1061" w:type="dxa"/>
            <w:vMerge w:val="restart"/>
            <w:shd w:val="clear" w:color="auto" w:fill="A3CAB8" w:themeFill="accent3" w:themeFillTint="99"/>
            <w:vAlign w:val="center"/>
          </w:tcPr>
          <w:p w14:paraId="4C4A0496" w14:textId="77777777" w:rsidR="00B32C9A" w:rsidRPr="00412F9A" w:rsidRDefault="00B32C9A" w:rsidP="00BB4A74">
            <w:pPr>
              <w:spacing w:line="240" w:lineRule="auto"/>
              <w:rPr>
                <w:b/>
              </w:rPr>
            </w:pPr>
            <w:r w:rsidRPr="00412F9A">
              <w:rPr>
                <w:b/>
              </w:rPr>
              <w:t>Indi</w:t>
            </w:r>
            <w:r>
              <w:rPr>
                <w:b/>
              </w:rPr>
              <w:t>c</w:t>
            </w:r>
            <w:r w:rsidRPr="00412F9A">
              <w:rPr>
                <w:b/>
              </w:rPr>
              <w:t>ator</w:t>
            </w:r>
          </w:p>
        </w:tc>
        <w:tc>
          <w:tcPr>
            <w:tcW w:w="3169" w:type="dxa"/>
            <w:gridSpan w:val="3"/>
            <w:shd w:val="clear" w:color="auto" w:fill="A3CAB8" w:themeFill="accent3" w:themeFillTint="99"/>
          </w:tcPr>
          <w:p w14:paraId="4E9EC33C" w14:textId="77777777" w:rsidR="00B32C9A" w:rsidRPr="00412F9A" w:rsidRDefault="00B32C9A" w:rsidP="00BB4A74">
            <w:pPr>
              <w:spacing w:before="120" w:line="240" w:lineRule="auto"/>
              <w:jc w:val="center"/>
              <w:rPr>
                <w:b/>
              </w:rPr>
            </w:pPr>
            <w:r>
              <w:rPr>
                <w:b/>
              </w:rPr>
              <w:t>Initial Risk Rating</w:t>
            </w:r>
          </w:p>
        </w:tc>
        <w:tc>
          <w:tcPr>
            <w:tcW w:w="324" w:type="dxa"/>
            <w:tcBorders>
              <w:top w:val="nil"/>
              <w:bottom w:val="nil"/>
            </w:tcBorders>
            <w:shd w:val="clear" w:color="auto" w:fill="auto"/>
          </w:tcPr>
          <w:p w14:paraId="3BB4BF58" w14:textId="77777777" w:rsidR="00B32C9A" w:rsidRPr="00412F9A" w:rsidRDefault="00B32C9A" w:rsidP="00BB4A74">
            <w:pPr>
              <w:spacing w:line="240" w:lineRule="auto"/>
            </w:pPr>
          </w:p>
        </w:tc>
        <w:tc>
          <w:tcPr>
            <w:tcW w:w="1134" w:type="dxa"/>
            <w:vMerge w:val="restart"/>
            <w:shd w:val="clear" w:color="auto" w:fill="A3CAB8" w:themeFill="accent3" w:themeFillTint="99"/>
            <w:vAlign w:val="center"/>
          </w:tcPr>
          <w:p w14:paraId="201D780D" w14:textId="77777777" w:rsidR="00B32C9A" w:rsidRPr="00412F9A" w:rsidRDefault="00B32C9A" w:rsidP="00BB4A74">
            <w:pPr>
              <w:spacing w:line="240" w:lineRule="auto"/>
              <w:rPr>
                <w:b/>
              </w:rPr>
            </w:pPr>
            <w:r>
              <w:rPr>
                <w:b/>
              </w:rPr>
              <w:t>Indicator</w:t>
            </w:r>
          </w:p>
        </w:tc>
        <w:tc>
          <w:tcPr>
            <w:tcW w:w="3260" w:type="dxa"/>
            <w:gridSpan w:val="3"/>
            <w:shd w:val="clear" w:color="auto" w:fill="A3CAB8" w:themeFill="accent3" w:themeFillTint="99"/>
          </w:tcPr>
          <w:p w14:paraId="25933F79" w14:textId="77777777" w:rsidR="00B32C9A" w:rsidRPr="00412F9A" w:rsidRDefault="00B32C9A" w:rsidP="00BB4A74">
            <w:pPr>
              <w:spacing w:before="120" w:line="240" w:lineRule="auto"/>
              <w:jc w:val="center"/>
              <w:rPr>
                <w:b/>
              </w:rPr>
            </w:pPr>
            <w:r>
              <w:rPr>
                <w:b/>
              </w:rPr>
              <w:t>Initial Risk Rating</w:t>
            </w:r>
          </w:p>
        </w:tc>
      </w:tr>
      <w:tr w:rsidR="00B32C9A" w:rsidRPr="00412F9A" w14:paraId="63AA101E" w14:textId="77777777" w:rsidTr="00BB4A74">
        <w:tc>
          <w:tcPr>
            <w:tcW w:w="1061" w:type="dxa"/>
            <w:vMerge/>
            <w:vAlign w:val="center"/>
          </w:tcPr>
          <w:p w14:paraId="4516120F" w14:textId="77777777" w:rsidR="00B32C9A" w:rsidRPr="00412F9A" w:rsidRDefault="00B32C9A" w:rsidP="00BB4A74">
            <w:pPr>
              <w:spacing w:line="240" w:lineRule="auto"/>
              <w:rPr>
                <w:b/>
              </w:rPr>
            </w:pPr>
          </w:p>
        </w:tc>
        <w:tc>
          <w:tcPr>
            <w:tcW w:w="1106" w:type="dxa"/>
            <w:shd w:val="clear" w:color="auto" w:fill="A3CAB8" w:themeFill="accent3" w:themeFillTint="99"/>
          </w:tcPr>
          <w:p w14:paraId="7ABF9E0A" w14:textId="77777777" w:rsidR="00B32C9A" w:rsidRPr="00412F9A" w:rsidRDefault="00B32C9A" w:rsidP="00BB4A74">
            <w:pPr>
              <w:spacing w:before="120" w:line="240" w:lineRule="auto"/>
              <w:rPr>
                <w:b/>
              </w:rPr>
            </w:pPr>
            <w:r>
              <w:rPr>
                <w:b/>
              </w:rPr>
              <w:t>Specified</w:t>
            </w:r>
          </w:p>
        </w:tc>
        <w:tc>
          <w:tcPr>
            <w:tcW w:w="713" w:type="dxa"/>
            <w:shd w:val="clear" w:color="auto" w:fill="A3CAB8" w:themeFill="accent3" w:themeFillTint="99"/>
            <w:vAlign w:val="center"/>
          </w:tcPr>
          <w:p w14:paraId="241EE89C" w14:textId="77777777" w:rsidR="00B32C9A" w:rsidRPr="00412F9A" w:rsidRDefault="00B32C9A" w:rsidP="00BB4A74">
            <w:pPr>
              <w:spacing w:before="120" w:line="240" w:lineRule="auto"/>
              <w:rPr>
                <w:b/>
              </w:rPr>
            </w:pPr>
            <w:r>
              <w:rPr>
                <w:b/>
              </w:rPr>
              <w:t>Low</w:t>
            </w:r>
          </w:p>
        </w:tc>
        <w:tc>
          <w:tcPr>
            <w:tcW w:w="1350" w:type="dxa"/>
            <w:shd w:val="clear" w:color="auto" w:fill="A3CAB8" w:themeFill="accent3" w:themeFillTint="99"/>
            <w:vAlign w:val="center"/>
          </w:tcPr>
          <w:p w14:paraId="50CE6FA1" w14:textId="77777777" w:rsidR="00B32C9A" w:rsidRPr="00412F9A" w:rsidRDefault="00B32C9A" w:rsidP="00BB4A74">
            <w:pPr>
              <w:spacing w:before="120" w:line="240" w:lineRule="auto"/>
              <w:rPr>
                <w:b/>
              </w:rPr>
            </w:pPr>
            <w:r>
              <w:rPr>
                <w:b/>
              </w:rPr>
              <w:t>Unspecified</w:t>
            </w:r>
          </w:p>
        </w:tc>
        <w:tc>
          <w:tcPr>
            <w:tcW w:w="324" w:type="dxa"/>
            <w:tcBorders>
              <w:top w:val="nil"/>
              <w:bottom w:val="nil"/>
            </w:tcBorders>
          </w:tcPr>
          <w:p w14:paraId="1A9D4DDB" w14:textId="77777777" w:rsidR="00B32C9A" w:rsidRPr="00412F9A" w:rsidRDefault="00B32C9A" w:rsidP="00BB4A74">
            <w:pPr>
              <w:spacing w:line="240" w:lineRule="auto"/>
            </w:pPr>
          </w:p>
        </w:tc>
        <w:tc>
          <w:tcPr>
            <w:tcW w:w="1134" w:type="dxa"/>
            <w:vMerge/>
          </w:tcPr>
          <w:p w14:paraId="1FC08049" w14:textId="77777777" w:rsidR="00B32C9A" w:rsidRPr="00412F9A" w:rsidRDefault="00B32C9A" w:rsidP="00BB4A74">
            <w:pPr>
              <w:spacing w:line="240" w:lineRule="auto"/>
            </w:pPr>
          </w:p>
        </w:tc>
        <w:tc>
          <w:tcPr>
            <w:tcW w:w="1160" w:type="dxa"/>
            <w:shd w:val="clear" w:color="auto" w:fill="A3CAB8" w:themeFill="accent3" w:themeFillTint="99"/>
          </w:tcPr>
          <w:p w14:paraId="37062D10" w14:textId="77777777" w:rsidR="00B32C9A" w:rsidRPr="00412F9A" w:rsidRDefault="00B32C9A" w:rsidP="00BB4A74">
            <w:pPr>
              <w:spacing w:before="120" w:line="240" w:lineRule="auto"/>
              <w:rPr>
                <w:b/>
              </w:rPr>
            </w:pPr>
            <w:r>
              <w:rPr>
                <w:b/>
              </w:rPr>
              <w:t>Specified</w:t>
            </w:r>
          </w:p>
        </w:tc>
        <w:tc>
          <w:tcPr>
            <w:tcW w:w="721" w:type="dxa"/>
            <w:shd w:val="clear" w:color="auto" w:fill="A3CAB8" w:themeFill="accent3" w:themeFillTint="99"/>
            <w:vAlign w:val="center"/>
          </w:tcPr>
          <w:p w14:paraId="02FB8FAA" w14:textId="77777777" w:rsidR="00B32C9A" w:rsidRPr="00412F9A" w:rsidRDefault="00B32C9A" w:rsidP="00BB4A74">
            <w:pPr>
              <w:spacing w:before="120" w:line="240" w:lineRule="auto"/>
              <w:rPr>
                <w:b/>
              </w:rPr>
            </w:pPr>
            <w:r>
              <w:rPr>
                <w:b/>
              </w:rPr>
              <w:t>Low</w:t>
            </w:r>
          </w:p>
        </w:tc>
        <w:tc>
          <w:tcPr>
            <w:tcW w:w="1379" w:type="dxa"/>
            <w:shd w:val="clear" w:color="auto" w:fill="A3CAB8" w:themeFill="accent3" w:themeFillTint="99"/>
            <w:vAlign w:val="center"/>
          </w:tcPr>
          <w:p w14:paraId="07C31FDD" w14:textId="77777777" w:rsidR="00B32C9A" w:rsidRPr="00412F9A" w:rsidRDefault="00B32C9A" w:rsidP="00BB4A74">
            <w:pPr>
              <w:spacing w:before="120" w:line="240" w:lineRule="auto"/>
              <w:rPr>
                <w:b/>
              </w:rPr>
            </w:pPr>
            <w:r>
              <w:rPr>
                <w:b/>
              </w:rPr>
              <w:t>Unspecified</w:t>
            </w:r>
          </w:p>
        </w:tc>
      </w:tr>
      <w:tr w:rsidR="00B32C9A" w:rsidRPr="00412F9A" w14:paraId="7AB1A98B" w14:textId="77777777" w:rsidTr="00BB4A74">
        <w:trPr>
          <w:trHeight w:val="397"/>
        </w:trPr>
        <w:tc>
          <w:tcPr>
            <w:tcW w:w="1061" w:type="dxa"/>
            <w:shd w:val="clear" w:color="auto" w:fill="E0EDE7" w:themeFill="accent3" w:themeFillTint="33"/>
          </w:tcPr>
          <w:p w14:paraId="0E392D87" w14:textId="77777777" w:rsidR="00B32C9A" w:rsidRPr="00412F9A" w:rsidRDefault="00B32C9A" w:rsidP="00BB4A74">
            <w:pPr>
              <w:spacing w:before="120" w:line="240" w:lineRule="auto"/>
            </w:pPr>
            <w:r w:rsidRPr="00412F9A">
              <w:t>1.1.1</w:t>
            </w:r>
          </w:p>
        </w:tc>
        <w:tc>
          <w:tcPr>
            <w:tcW w:w="1106" w:type="dxa"/>
            <w:shd w:val="clear" w:color="auto" w:fill="E0EDE7" w:themeFill="accent3" w:themeFillTint="33"/>
          </w:tcPr>
          <w:p w14:paraId="4294480B" w14:textId="77777777" w:rsidR="00B32C9A" w:rsidRPr="00412F9A" w:rsidRDefault="00B32C9A" w:rsidP="00BB4A74">
            <w:pPr>
              <w:spacing w:line="240" w:lineRule="auto"/>
            </w:pPr>
          </w:p>
        </w:tc>
        <w:tc>
          <w:tcPr>
            <w:tcW w:w="713" w:type="dxa"/>
            <w:shd w:val="clear" w:color="auto" w:fill="E0EDE7" w:themeFill="accent3" w:themeFillTint="33"/>
          </w:tcPr>
          <w:p w14:paraId="4D9CAA15"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0E35CA8A" w14:textId="77777777" w:rsidR="00B32C9A" w:rsidRPr="00412F9A" w:rsidRDefault="00B32C9A" w:rsidP="00BB4A74">
            <w:pPr>
              <w:spacing w:line="240" w:lineRule="auto"/>
            </w:pPr>
          </w:p>
        </w:tc>
        <w:tc>
          <w:tcPr>
            <w:tcW w:w="324" w:type="dxa"/>
            <w:tcBorders>
              <w:top w:val="nil"/>
              <w:bottom w:val="nil"/>
            </w:tcBorders>
          </w:tcPr>
          <w:p w14:paraId="40A7BA9E" w14:textId="77777777" w:rsidR="00B32C9A" w:rsidRPr="00412F9A" w:rsidRDefault="00B32C9A" w:rsidP="00BB4A74">
            <w:pPr>
              <w:spacing w:line="240" w:lineRule="auto"/>
            </w:pPr>
          </w:p>
        </w:tc>
        <w:tc>
          <w:tcPr>
            <w:tcW w:w="1134" w:type="dxa"/>
            <w:shd w:val="clear" w:color="auto" w:fill="E0EDE7" w:themeFill="accent3" w:themeFillTint="33"/>
          </w:tcPr>
          <w:p w14:paraId="7DAF18DC" w14:textId="77777777" w:rsidR="00B32C9A" w:rsidRPr="00412F9A" w:rsidRDefault="00B32C9A" w:rsidP="00BB4A74">
            <w:pPr>
              <w:spacing w:before="120" w:line="240" w:lineRule="auto"/>
            </w:pPr>
            <w:r w:rsidRPr="00412F9A">
              <w:t>2.3.1</w:t>
            </w:r>
          </w:p>
        </w:tc>
        <w:tc>
          <w:tcPr>
            <w:tcW w:w="1160" w:type="dxa"/>
            <w:shd w:val="clear" w:color="auto" w:fill="E0EDE7" w:themeFill="accent3" w:themeFillTint="33"/>
          </w:tcPr>
          <w:p w14:paraId="4159AB7B" w14:textId="77777777" w:rsidR="00B32C9A" w:rsidRPr="00412F9A" w:rsidRDefault="00B32C9A" w:rsidP="00BB4A74">
            <w:pPr>
              <w:spacing w:line="240" w:lineRule="auto"/>
            </w:pPr>
          </w:p>
        </w:tc>
        <w:tc>
          <w:tcPr>
            <w:tcW w:w="721" w:type="dxa"/>
            <w:shd w:val="clear" w:color="auto" w:fill="E0EDE7" w:themeFill="accent3" w:themeFillTint="33"/>
          </w:tcPr>
          <w:p w14:paraId="28145564" w14:textId="77777777" w:rsidR="00B32C9A" w:rsidRPr="00412F9A" w:rsidRDefault="00B32C9A" w:rsidP="00BB4A74">
            <w:pPr>
              <w:spacing w:line="240" w:lineRule="auto"/>
              <w:jc w:val="center"/>
            </w:pPr>
            <w:r>
              <w:t>X</w:t>
            </w:r>
          </w:p>
        </w:tc>
        <w:tc>
          <w:tcPr>
            <w:tcW w:w="1379" w:type="dxa"/>
            <w:shd w:val="clear" w:color="auto" w:fill="E0EDE7" w:themeFill="accent3" w:themeFillTint="33"/>
          </w:tcPr>
          <w:p w14:paraId="2F1CB0A6" w14:textId="77777777" w:rsidR="00B32C9A" w:rsidRPr="00412F9A" w:rsidRDefault="00B32C9A" w:rsidP="00BB4A74">
            <w:pPr>
              <w:spacing w:line="240" w:lineRule="auto"/>
            </w:pPr>
          </w:p>
        </w:tc>
      </w:tr>
      <w:tr w:rsidR="00B32C9A" w:rsidRPr="00412F9A" w14:paraId="441D166E" w14:textId="77777777" w:rsidTr="00BB4A74">
        <w:trPr>
          <w:trHeight w:val="397"/>
        </w:trPr>
        <w:tc>
          <w:tcPr>
            <w:tcW w:w="1061" w:type="dxa"/>
            <w:shd w:val="clear" w:color="auto" w:fill="E0EDE7" w:themeFill="accent3" w:themeFillTint="33"/>
          </w:tcPr>
          <w:p w14:paraId="0CC22027" w14:textId="77777777" w:rsidR="00B32C9A" w:rsidRPr="00412F9A" w:rsidRDefault="00B32C9A" w:rsidP="00BB4A74">
            <w:pPr>
              <w:spacing w:before="120" w:line="240" w:lineRule="auto"/>
            </w:pPr>
            <w:r w:rsidRPr="00412F9A">
              <w:t>1.1.2</w:t>
            </w:r>
          </w:p>
        </w:tc>
        <w:tc>
          <w:tcPr>
            <w:tcW w:w="1106" w:type="dxa"/>
            <w:shd w:val="clear" w:color="auto" w:fill="E0EDE7" w:themeFill="accent3" w:themeFillTint="33"/>
          </w:tcPr>
          <w:p w14:paraId="0E5825F4" w14:textId="77777777" w:rsidR="00B32C9A" w:rsidRPr="00412F9A" w:rsidRDefault="00B32C9A" w:rsidP="00BB4A74">
            <w:pPr>
              <w:spacing w:line="240" w:lineRule="auto"/>
            </w:pPr>
          </w:p>
        </w:tc>
        <w:tc>
          <w:tcPr>
            <w:tcW w:w="713" w:type="dxa"/>
            <w:shd w:val="clear" w:color="auto" w:fill="E0EDE7" w:themeFill="accent3" w:themeFillTint="33"/>
          </w:tcPr>
          <w:p w14:paraId="66B4B471"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3D7B32BC" w14:textId="77777777" w:rsidR="00B32C9A" w:rsidRPr="00412F9A" w:rsidRDefault="00B32C9A" w:rsidP="00BB4A74">
            <w:pPr>
              <w:spacing w:line="240" w:lineRule="auto"/>
            </w:pPr>
          </w:p>
        </w:tc>
        <w:tc>
          <w:tcPr>
            <w:tcW w:w="324" w:type="dxa"/>
            <w:tcBorders>
              <w:top w:val="nil"/>
              <w:bottom w:val="nil"/>
            </w:tcBorders>
          </w:tcPr>
          <w:p w14:paraId="3A562E6A" w14:textId="77777777" w:rsidR="00B32C9A" w:rsidRPr="00412F9A" w:rsidRDefault="00B32C9A" w:rsidP="00BB4A74">
            <w:pPr>
              <w:spacing w:line="240" w:lineRule="auto"/>
            </w:pPr>
          </w:p>
        </w:tc>
        <w:tc>
          <w:tcPr>
            <w:tcW w:w="1134" w:type="dxa"/>
            <w:shd w:val="clear" w:color="auto" w:fill="E0EDE7" w:themeFill="accent3" w:themeFillTint="33"/>
          </w:tcPr>
          <w:p w14:paraId="173F635D" w14:textId="77777777" w:rsidR="00B32C9A" w:rsidRPr="00412F9A" w:rsidRDefault="00B32C9A" w:rsidP="00BB4A74">
            <w:pPr>
              <w:spacing w:before="120" w:line="240" w:lineRule="auto"/>
            </w:pPr>
            <w:r w:rsidRPr="00412F9A">
              <w:t>2.3.2</w:t>
            </w:r>
          </w:p>
        </w:tc>
        <w:tc>
          <w:tcPr>
            <w:tcW w:w="1160" w:type="dxa"/>
            <w:shd w:val="clear" w:color="auto" w:fill="E0EDE7" w:themeFill="accent3" w:themeFillTint="33"/>
          </w:tcPr>
          <w:p w14:paraId="75D3ABDE" w14:textId="77777777" w:rsidR="00B32C9A" w:rsidRPr="00412F9A" w:rsidRDefault="00B32C9A" w:rsidP="00BB4A74">
            <w:pPr>
              <w:spacing w:line="240" w:lineRule="auto"/>
            </w:pPr>
          </w:p>
        </w:tc>
        <w:tc>
          <w:tcPr>
            <w:tcW w:w="721" w:type="dxa"/>
            <w:shd w:val="clear" w:color="auto" w:fill="E0EDE7" w:themeFill="accent3" w:themeFillTint="33"/>
          </w:tcPr>
          <w:p w14:paraId="54754F9F" w14:textId="77777777" w:rsidR="00B32C9A" w:rsidRPr="00412F9A" w:rsidRDefault="00B32C9A" w:rsidP="00BB4A74">
            <w:pPr>
              <w:spacing w:line="240" w:lineRule="auto"/>
              <w:jc w:val="center"/>
            </w:pPr>
            <w:r>
              <w:t>X</w:t>
            </w:r>
          </w:p>
        </w:tc>
        <w:tc>
          <w:tcPr>
            <w:tcW w:w="1379" w:type="dxa"/>
            <w:shd w:val="clear" w:color="auto" w:fill="E0EDE7" w:themeFill="accent3" w:themeFillTint="33"/>
          </w:tcPr>
          <w:p w14:paraId="337C56DC" w14:textId="77777777" w:rsidR="00B32C9A" w:rsidRPr="00412F9A" w:rsidRDefault="00B32C9A" w:rsidP="00BB4A74">
            <w:pPr>
              <w:spacing w:line="240" w:lineRule="auto"/>
            </w:pPr>
          </w:p>
        </w:tc>
      </w:tr>
      <w:tr w:rsidR="00B32C9A" w:rsidRPr="00412F9A" w14:paraId="4426CC5D" w14:textId="77777777" w:rsidTr="00BB4A74">
        <w:trPr>
          <w:trHeight w:val="397"/>
        </w:trPr>
        <w:tc>
          <w:tcPr>
            <w:tcW w:w="1061" w:type="dxa"/>
            <w:shd w:val="clear" w:color="auto" w:fill="E0EDE7" w:themeFill="accent3" w:themeFillTint="33"/>
          </w:tcPr>
          <w:p w14:paraId="2AF25201" w14:textId="77777777" w:rsidR="00B32C9A" w:rsidRPr="00412F9A" w:rsidRDefault="00B32C9A" w:rsidP="00BB4A74">
            <w:pPr>
              <w:spacing w:before="120" w:line="240" w:lineRule="auto"/>
            </w:pPr>
            <w:r w:rsidRPr="00412F9A">
              <w:t>1.1.3</w:t>
            </w:r>
          </w:p>
        </w:tc>
        <w:tc>
          <w:tcPr>
            <w:tcW w:w="1106" w:type="dxa"/>
            <w:shd w:val="clear" w:color="auto" w:fill="E0EDE7" w:themeFill="accent3" w:themeFillTint="33"/>
          </w:tcPr>
          <w:p w14:paraId="2D40B440" w14:textId="77777777" w:rsidR="00B32C9A" w:rsidRPr="00412F9A" w:rsidRDefault="00B32C9A" w:rsidP="00BB4A74">
            <w:pPr>
              <w:spacing w:line="240" w:lineRule="auto"/>
            </w:pPr>
          </w:p>
        </w:tc>
        <w:tc>
          <w:tcPr>
            <w:tcW w:w="713" w:type="dxa"/>
            <w:shd w:val="clear" w:color="auto" w:fill="E0EDE7" w:themeFill="accent3" w:themeFillTint="33"/>
          </w:tcPr>
          <w:p w14:paraId="264FC475"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5D3081BC" w14:textId="77777777" w:rsidR="00B32C9A" w:rsidRPr="00412F9A" w:rsidRDefault="00B32C9A" w:rsidP="00BB4A74">
            <w:pPr>
              <w:spacing w:line="240" w:lineRule="auto"/>
            </w:pPr>
          </w:p>
        </w:tc>
        <w:tc>
          <w:tcPr>
            <w:tcW w:w="324" w:type="dxa"/>
            <w:tcBorders>
              <w:top w:val="nil"/>
              <w:bottom w:val="nil"/>
            </w:tcBorders>
          </w:tcPr>
          <w:p w14:paraId="28EE0335" w14:textId="77777777" w:rsidR="00B32C9A" w:rsidRPr="00412F9A" w:rsidRDefault="00B32C9A" w:rsidP="00BB4A74">
            <w:pPr>
              <w:spacing w:line="240" w:lineRule="auto"/>
            </w:pPr>
          </w:p>
        </w:tc>
        <w:tc>
          <w:tcPr>
            <w:tcW w:w="1134" w:type="dxa"/>
            <w:shd w:val="clear" w:color="auto" w:fill="E0EDE7" w:themeFill="accent3" w:themeFillTint="33"/>
          </w:tcPr>
          <w:p w14:paraId="4DFDD009" w14:textId="77777777" w:rsidR="00B32C9A" w:rsidRPr="00412F9A" w:rsidRDefault="00B32C9A" w:rsidP="00BB4A74">
            <w:pPr>
              <w:spacing w:before="120" w:line="240" w:lineRule="auto"/>
            </w:pPr>
            <w:r w:rsidRPr="00412F9A">
              <w:t>2.3.3</w:t>
            </w:r>
          </w:p>
        </w:tc>
        <w:tc>
          <w:tcPr>
            <w:tcW w:w="1160" w:type="dxa"/>
            <w:shd w:val="clear" w:color="auto" w:fill="E0EDE7" w:themeFill="accent3" w:themeFillTint="33"/>
          </w:tcPr>
          <w:p w14:paraId="1D22C390" w14:textId="77777777" w:rsidR="00B32C9A" w:rsidRPr="00412F9A" w:rsidRDefault="00B32C9A" w:rsidP="00BB4A74">
            <w:pPr>
              <w:spacing w:line="240" w:lineRule="auto"/>
            </w:pPr>
          </w:p>
        </w:tc>
        <w:tc>
          <w:tcPr>
            <w:tcW w:w="721" w:type="dxa"/>
            <w:shd w:val="clear" w:color="auto" w:fill="E0EDE7" w:themeFill="accent3" w:themeFillTint="33"/>
          </w:tcPr>
          <w:p w14:paraId="59B51A11" w14:textId="77777777" w:rsidR="00B32C9A" w:rsidRPr="00412F9A" w:rsidRDefault="00B32C9A" w:rsidP="00BB4A74">
            <w:pPr>
              <w:spacing w:line="240" w:lineRule="auto"/>
              <w:jc w:val="center"/>
            </w:pPr>
            <w:r>
              <w:t>X</w:t>
            </w:r>
          </w:p>
        </w:tc>
        <w:tc>
          <w:tcPr>
            <w:tcW w:w="1379" w:type="dxa"/>
            <w:shd w:val="clear" w:color="auto" w:fill="E0EDE7" w:themeFill="accent3" w:themeFillTint="33"/>
          </w:tcPr>
          <w:p w14:paraId="13B5E535" w14:textId="77777777" w:rsidR="00B32C9A" w:rsidRPr="00412F9A" w:rsidRDefault="00B32C9A" w:rsidP="00BB4A74">
            <w:pPr>
              <w:spacing w:line="240" w:lineRule="auto"/>
            </w:pPr>
          </w:p>
        </w:tc>
      </w:tr>
      <w:tr w:rsidR="00B32C9A" w:rsidRPr="00412F9A" w14:paraId="1D66FFC5" w14:textId="77777777" w:rsidTr="00BB4A74">
        <w:trPr>
          <w:trHeight w:val="397"/>
        </w:trPr>
        <w:tc>
          <w:tcPr>
            <w:tcW w:w="1061" w:type="dxa"/>
            <w:shd w:val="clear" w:color="auto" w:fill="E0EDE7" w:themeFill="accent3" w:themeFillTint="33"/>
          </w:tcPr>
          <w:p w14:paraId="1F7AE8C6" w14:textId="77777777" w:rsidR="00B32C9A" w:rsidRPr="00412F9A" w:rsidRDefault="00B32C9A" w:rsidP="00BB4A74">
            <w:pPr>
              <w:spacing w:before="120" w:line="240" w:lineRule="auto"/>
            </w:pPr>
            <w:r w:rsidRPr="00412F9A">
              <w:t>1.2.1</w:t>
            </w:r>
          </w:p>
        </w:tc>
        <w:tc>
          <w:tcPr>
            <w:tcW w:w="1106" w:type="dxa"/>
            <w:shd w:val="clear" w:color="auto" w:fill="E0EDE7" w:themeFill="accent3" w:themeFillTint="33"/>
          </w:tcPr>
          <w:p w14:paraId="4940B75D" w14:textId="77777777" w:rsidR="00B32C9A" w:rsidRPr="00412F9A" w:rsidRDefault="00B32C9A" w:rsidP="00BB4A74">
            <w:pPr>
              <w:spacing w:line="240" w:lineRule="auto"/>
            </w:pPr>
          </w:p>
        </w:tc>
        <w:tc>
          <w:tcPr>
            <w:tcW w:w="713" w:type="dxa"/>
            <w:shd w:val="clear" w:color="auto" w:fill="E0EDE7" w:themeFill="accent3" w:themeFillTint="33"/>
          </w:tcPr>
          <w:p w14:paraId="52C756E8"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445DE03E" w14:textId="77777777" w:rsidR="00B32C9A" w:rsidRPr="00412F9A" w:rsidRDefault="00B32C9A" w:rsidP="00BB4A74">
            <w:pPr>
              <w:spacing w:line="240" w:lineRule="auto"/>
            </w:pPr>
          </w:p>
        </w:tc>
        <w:tc>
          <w:tcPr>
            <w:tcW w:w="324" w:type="dxa"/>
            <w:tcBorders>
              <w:top w:val="nil"/>
              <w:bottom w:val="nil"/>
            </w:tcBorders>
          </w:tcPr>
          <w:p w14:paraId="60707BD2" w14:textId="77777777" w:rsidR="00B32C9A" w:rsidRPr="00412F9A" w:rsidRDefault="00B32C9A" w:rsidP="00BB4A74">
            <w:pPr>
              <w:spacing w:line="240" w:lineRule="auto"/>
            </w:pPr>
          </w:p>
        </w:tc>
        <w:tc>
          <w:tcPr>
            <w:tcW w:w="1134" w:type="dxa"/>
            <w:shd w:val="clear" w:color="auto" w:fill="E0EDE7" w:themeFill="accent3" w:themeFillTint="33"/>
          </w:tcPr>
          <w:p w14:paraId="564B0433" w14:textId="77777777" w:rsidR="00B32C9A" w:rsidRPr="00412F9A" w:rsidRDefault="00B32C9A" w:rsidP="00BB4A74">
            <w:pPr>
              <w:spacing w:before="120" w:line="240" w:lineRule="auto"/>
            </w:pPr>
            <w:r w:rsidRPr="00412F9A">
              <w:t>2.4.1</w:t>
            </w:r>
          </w:p>
        </w:tc>
        <w:tc>
          <w:tcPr>
            <w:tcW w:w="1160" w:type="dxa"/>
            <w:shd w:val="clear" w:color="auto" w:fill="E0EDE7" w:themeFill="accent3" w:themeFillTint="33"/>
          </w:tcPr>
          <w:p w14:paraId="16ECFB5C" w14:textId="77777777" w:rsidR="00B32C9A" w:rsidRPr="00412F9A" w:rsidRDefault="00B32C9A" w:rsidP="00BB4A74">
            <w:pPr>
              <w:spacing w:line="240" w:lineRule="auto"/>
            </w:pPr>
          </w:p>
        </w:tc>
        <w:tc>
          <w:tcPr>
            <w:tcW w:w="721" w:type="dxa"/>
            <w:shd w:val="clear" w:color="auto" w:fill="E0EDE7" w:themeFill="accent3" w:themeFillTint="33"/>
          </w:tcPr>
          <w:p w14:paraId="1C73C24E" w14:textId="77777777" w:rsidR="00B32C9A" w:rsidRPr="00412F9A" w:rsidRDefault="00B32C9A" w:rsidP="00BB4A74">
            <w:pPr>
              <w:spacing w:line="240" w:lineRule="auto"/>
              <w:jc w:val="center"/>
            </w:pPr>
            <w:r>
              <w:t>X</w:t>
            </w:r>
          </w:p>
        </w:tc>
        <w:tc>
          <w:tcPr>
            <w:tcW w:w="1379" w:type="dxa"/>
            <w:shd w:val="clear" w:color="auto" w:fill="E0EDE7" w:themeFill="accent3" w:themeFillTint="33"/>
          </w:tcPr>
          <w:p w14:paraId="1FF1E18F" w14:textId="77777777" w:rsidR="00B32C9A" w:rsidRPr="00412F9A" w:rsidRDefault="00B32C9A" w:rsidP="00BB4A74">
            <w:pPr>
              <w:spacing w:line="240" w:lineRule="auto"/>
            </w:pPr>
          </w:p>
        </w:tc>
      </w:tr>
      <w:tr w:rsidR="00B32C9A" w:rsidRPr="00412F9A" w14:paraId="1F361E2B" w14:textId="77777777" w:rsidTr="00BB4A74">
        <w:trPr>
          <w:trHeight w:val="397"/>
        </w:trPr>
        <w:tc>
          <w:tcPr>
            <w:tcW w:w="1061" w:type="dxa"/>
            <w:shd w:val="clear" w:color="auto" w:fill="E0EDE7" w:themeFill="accent3" w:themeFillTint="33"/>
          </w:tcPr>
          <w:p w14:paraId="136EF3B9" w14:textId="77777777" w:rsidR="00B32C9A" w:rsidRPr="00412F9A" w:rsidRDefault="00B32C9A" w:rsidP="00BB4A74">
            <w:pPr>
              <w:spacing w:before="120" w:line="240" w:lineRule="auto"/>
            </w:pPr>
            <w:r w:rsidRPr="00412F9A">
              <w:t>1.3.1</w:t>
            </w:r>
          </w:p>
        </w:tc>
        <w:tc>
          <w:tcPr>
            <w:tcW w:w="1106" w:type="dxa"/>
            <w:shd w:val="clear" w:color="auto" w:fill="E0EDE7" w:themeFill="accent3" w:themeFillTint="33"/>
          </w:tcPr>
          <w:p w14:paraId="2288BACE" w14:textId="77777777" w:rsidR="00B32C9A" w:rsidRPr="00412F9A" w:rsidRDefault="00B32C9A" w:rsidP="00BB4A74">
            <w:pPr>
              <w:spacing w:line="240" w:lineRule="auto"/>
            </w:pPr>
          </w:p>
        </w:tc>
        <w:tc>
          <w:tcPr>
            <w:tcW w:w="713" w:type="dxa"/>
            <w:shd w:val="clear" w:color="auto" w:fill="E0EDE7" w:themeFill="accent3" w:themeFillTint="33"/>
          </w:tcPr>
          <w:p w14:paraId="727325F5"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46841FE4" w14:textId="77777777" w:rsidR="00B32C9A" w:rsidRPr="00412F9A" w:rsidRDefault="00B32C9A" w:rsidP="00BB4A74">
            <w:pPr>
              <w:spacing w:line="240" w:lineRule="auto"/>
            </w:pPr>
          </w:p>
        </w:tc>
        <w:tc>
          <w:tcPr>
            <w:tcW w:w="324" w:type="dxa"/>
            <w:tcBorders>
              <w:top w:val="nil"/>
              <w:bottom w:val="nil"/>
            </w:tcBorders>
          </w:tcPr>
          <w:p w14:paraId="55C83948" w14:textId="77777777" w:rsidR="00B32C9A" w:rsidRPr="00412F9A" w:rsidRDefault="00B32C9A" w:rsidP="00BB4A74">
            <w:pPr>
              <w:spacing w:line="240" w:lineRule="auto"/>
            </w:pPr>
          </w:p>
        </w:tc>
        <w:tc>
          <w:tcPr>
            <w:tcW w:w="1134" w:type="dxa"/>
            <w:shd w:val="clear" w:color="auto" w:fill="E0EDE7" w:themeFill="accent3" w:themeFillTint="33"/>
          </w:tcPr>
          <w:p w14:paraId="7D4A559F" w14:textId="77777777" w:rsidR="00B32C9A" w:rsidRPr="00412F9A" w:rsidRDefault="00B32C9A" w:rsidP="00BB4A74">
            <w:pPr>
              <w:spacing w:before="120" w:line="240" w:lineRule="auto"/>
            </w:pPr>
            <w:r w:rsidRPr="00412F9A">
              <w:t>2.4.2</w:t>
            </w:r>
          </w:p>
        </w:tc>
        <w:tc>
          <w:tcPr>
            <w:tcW w:w="1160" w:type="dxa"/>
            <w:shd w:val="clear" w:color="auto" w:fill="E0EDE7" w:themeFill="accent3" w:themeFillTint="33"/>
          </w:tcPr>
          <w:p w14:paraId="27C3A621" w14:textId="77777777" w:rsidR="00B32C9A" w:rsidRPr="00412F9A" w:rsidRDefault="00B32C9A" w:rsidP="00BB4A74">
            <w:pPr>
              <w:spacing w:line="240" w:lineRule="auto"/>
            </w:pPr>
          </w:p>
        </w:tc>
        <w:tc>
          <w:tcPr>
            <w:tcW w:w="721" w:type="dxa"/>
            <w:shd w:val="clear" w:color="auto" w:fill="E0EDE7" w:themeFill="accent3" w:themeFillTint="33"/>
          </w:tcPr>
          <w:p w14:paraId="17C91316" w14:textId="77777777" w:rsidR="00B32C9A" w:rsidRPr="00412F9A" w:rsidRDefault="00B32C9A" w:rsidP="00BB4A74">
            <w:pPr>
              <w:spacing w:line="240" w:lineRule="auto"/>
              <w:jc w:val="center"/>
            </w:pPr>
            <w:r>
              <w:t>X</w:t>
            </w:r>
          </w:p>
        </w:tc>
        <w:tc>
          <w:tcPr>
            <w:tcW w:w="1379" w:type="dxa"/>
            <w:shd w:val="clear" w:color="auto" w:fill="E0EDE7" w:themeFill="accent3" w:themeFillTint="33"/>
          </w:tcPr>
          <w:p w14:paraId="17EDF754" w14:textId="77777777" w:rsidR="00B32C9A" w:rsidRPr="00412F9A" w:rsidRDefault="00B32C9A" w:rsidP="00BB4A74">
            <w:pPr>
              <w:spacing w:line="240" w:lineRule="auto"/>
            </w:pPr>
          </w:p>
        </w:tc>
      </w:tr>
      <w:tr w:rsidR="00B32C9A" w:rsidRPr="00412F9A" w14:paraId="3E6DC75F" w14:textId="77777777" w:rsidTr="00BB4A74">
        <w:trPr>
          <w:trHeight w:val="397"/>
        </w:trPr>
        <w:tc>
          <w:tcPr>
            <w:tcW w:w="1061" w:type="dxa"/>
            <w:shd w:val="clear" w:color="auto" w:fill="E0EDE7" w:themeFill="accent3" w:themeFillTint="33"/>
          </w:tcPr>
          <w:p w14:paraId="7A302A7D" w14:textId="77777777" w:rsidR="00B32C9A" w:rsidRPr="00412F9A" w:rsidRDefault="00B32C9A" w:rsidP="00BB4A74">
            <w:pPr>
              <w:spacing w:before="120" w:line="240" w:lineRule="auto"/>
            </w:pPr>
            <w:r w:rsidRPr="00412F9A">
              <w:t>1.4.1</w:t>
            </w:r>
          </w:p>
        </w:tc>
        <w:tc>
          <w:tcPr>
            <w:tcW w:w="1106" w:type="dxa"/>
            <w:shd w:val="clear" w:color="auto" w:fill="E0EDE7" w:themeFill="accent3" w:themeFillTint="33"/>
          </w:tcPr>
          <w:p w14:paraId="24DAF991" w14:textId="77777777" w:rsidR="00B32C9A" w:rsidRPr="00412F9A" w:rsidRDefault="00B32C9A" w:rsidP="00BB4A74">
            <w:pPr>
              <w:spacing w:line="240" w:lineRule="auto"/>
            </w:pPr>
          </w:p>
        </w:tc>
        <w:tc>
          <w:tcPr>
            <w:tcW w:w="713" w:type="dxa"/>
            <w:shd w:val="clear" w:color="auto" w:fill="E0EDE7" w:themeFill="accent3" w:themeFillTint="33"/>
          </w:tcPr>
          <w:p w14:paraId="7FA508C3"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794E1FEA" w14:textId="77777777" w:rsidR="00B32C9A" w:rsidRPr="00412F9A" w:rsidRDefault="00B32C9A" w:rsidP="00BB4A74">
            <w:pPr>
              <w:spacing w:line="240" w:lineRule="auto"/>
            </w:pPr>
          </w:p>
        </w:tc>
        <w:tc>
          <w:tcPr>
            <w:tcW w:w="324" w:type="dxa"/>
            <w:tcBorders>
              <w:top w:val="nil"/>
              <w:bottom w:val="nil"/>
            </w:tcBorders>
          </w:tcPr>
          <w:p w14:paraId="452B569C" w14:textId="77777777" w:rsidR="00B32C9A" w:rsidRPr="00412F9A" w:rsidRDefault="00B32C9A" w:rsidP="00BB4A74">
            <w:pPr>
              <w:spacing w:line="240" w:lineRule="auto"/>
            </w:pPr>
          </w:p>
        </w:tc>
        <w:tc>
          <w:tcPr>
            <w:tcW w:w="1134" w:type="dxa"/>
            <w:shd w:val="clear" w:color="auto" w:fill="E0EDE7" w:themeFill="accent3" w:themeFillTint="33"/>
          </w:tcPr>
          <w:p w14:paraId="2AA6693A" w14:textId="77777777" w:rsidR="00B32C9A" w:rsidRPr="00412F9A" w:rsidRDefault="00B32C9A" w:rsidP="00BB4A74">
            <w:pPr>
              <w:spacing w:before="120" w:line="240" w:lineRule="auto"/>
            </w:pPr>
            <w:r w:rsidRPr="00412F9A">
              <w:t>2.4.3</w:t>
            </w:r>
          </w:p>
        </w:tc>
        <w:tc>
          <w:tcPr>
            <w:tcW w:w="1160" w:type="dxa"/>
            <w:shd w:val="clear" w:color="auto" w:fill="E0EDE7" w:themeFill="accent3" w:themeFillTint="33"/>
          </w:tcPr>
          <w:p w14:paraId="4D1FA5A5" w14:textId="77777777" w:rsidR="00B32C9A" w:rsidRPr="00412F9A" w:rsidRDefault="00B32C9A" w:rsidP="00BB4A74">
            <w:pPr>
              <w:spacing w:line="240" w:lineRule="auto"/>
            </w:pPr>
          </w:p>
        </w:tc>
        <w:tc>
          <w:tcPr>
            <w:tcW w:w="721" w:type="dxa"/>
            <w:shd w:val="clear" w:color="auto" w:fill="E0EDE7" w:themeFill="accent3" w:themeFillTint="33"/>
          </w:tcPr>
          <w:p w14:paraId="52228109" w14:textId="77777777" w:rsidR="00B32C9A" w:rsidRPr="00412F9A" w:rsidRDefault="00B32C9A" w:rsidP="00BB4A74">
            <w:pPr>
              <w:spacing w:line="240" w:lineRule="auto"/>
              <w:jc w:val="center"/>
            </w:pPr>
            <w:r>
              <w:t>X</w:t>
            </w:r>
          </w:p>
        </w:tc>
        <w:tc>
          <w:tcPr>
            <w:tcW w:w="1379" w:type="dxa"/>
            <w:shd w:val="clear" w:color="auto" w:fill="E0EDE7" w:themeFill="accent3" w:themeFillTint="33"/>
          </w:tcPr>
          <w:p w14:paraId="10BD04CC" w14:textId="77777777" w:rsidR="00B32C9A" w:rsidRPr="00412F9A" w:rsidRDefault="00B32C9A" w:rsidP="00BB4A74">
            <w:pPr>
              <w:spacing w:line="240" w:lineRule="auto"/>
            </w:pPr>
          </w:p>
        </w:tc>
      </w:tr>
      <w:tr w:rsidR="00B32C9A" w:rsidRPr="00412F9A" w14:paraId="1EDB0DD7" w14:textId="77777777" w:rsidTr="00BB4A74">
        <w:trPr>
          <w:trHeight w:val="397"/>
        </w:trPr>
        <w:tc>
          <w:tcPr>
            <w:tcW w:w="1061" w:type="dxa"/>
            <w:shd w:val="clear" w:color="auto" w:fill="E0EDE7" w:themeFill="accent3" w:themeFillTint="33"/>
          </w:tcPr>
          <w:p w14:paraId="1486695F" w14:textId="77777777" w:rsidR="00B32C9A" w:rsidRPr="00412F9A" w:rsidRDefault="00B32C9A" w:rsidP="00BB4A74">
            <w:pPr>
              <w:spacing w:before="120" w:line="240" w:lineRule="auto"/>
            </w:pPr>
            <w:r w:rsidRPr="00412F9A">
              <w:t>1.5.1</w:t>
            </w:r>
          </w:p>
        </w:tc>
        <w:tc>
          <w:tcPr>
            <w:tcW w:w="1106" w:type="dxa"/>
            <w:shd w:val="clear" w:color="auto" w:fill="E0EDE7" w:themeFill="accent3" w:themeFillTint="33"/>
          </w:tcPr>
          <w:p w14:paraId="03851D89" w14:textId="77777777" w:rsidR="00B32C9A" w:rsidRPr="00412F9A" w:rsidRDefault="00B32C9A" w:rsidP="00BB4A74">
            <w:pPr>
              <w:spacing w:line="240" w:lineRule="auto"/>
            </w:pPr>
          </w:p>
        </w:tc>
        <w:tc>
          <w:tcPr>
            <w:tcW w:w="713" w:type="dxa"/>
            <w:shd w:val="clear" w:color="auto" w:fill="E0EDE7" w:themeFill="accent3" w:themeFillTint="33"/>
          </w:tcPr>
          <w:p w14:paraId="24CAB0D7"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0EEEF80F" w14:textId="77777777" w:rsidR="00B32C9A" w:rsidRPr="00412F9A" w:rsidRDefault="00B32C9A" w:rsidP="00BB4A74">
            <w:pPr>
              <w:spacing w:line="240" w:lineRule="auto"/>
            </w:pPr>
          </w:p>
        </w:tc>
        <w:tc>
          <w:tcPr>
            <w:tcW w:w="324" w:type="dxa"/>
            <w:tcBorders>
              <w:top w:val="nil"/>
              <w:bottom w:val="nil"/>
            </w:tcBorders>
          </w:tcPr>
          <w:p w14:paraId="00AF03A9" w14:textId="77777777" w:rsidR="00B32C9A" w:rsidRPr="00412F9A" w:rsidRDefault="00B32C9A" w:rsidP="00BB4A74">
            <w:pPr>
              <w:spacing w:line="240" w:lineRule="auto"/>
            </w:pPr>
          </w:p>
        </w:tc>
        <w:tc>
          <w:tcPr>
            <w:tcW w:w="1134" w:type="dxa"/>
            <w:shd w:val="clear" w:color="auto" w:fill="E0EDE7" w:themeFill="accent3" w:themeFillTint="33"/>
          </w:tcPr>
          <w:p w14:paraId="552C2450" w14:textId="77777777" w:rsidR="00B32C9A" w:rsidRPr="00412F9A" w:rsidRDefault="00B32C9A" w:rsidP="00BB4A74">
            <w:pPr>
              <w:spacing w:before="120" w:line="240" w:lineRule="auto"/>
            </w:pPr>
            <w:r w:rsidRPr="00412F9A">
              <w:t>2.5.1</w:t>
            </w:r>
          </w:p>
        </w:tc>
        <w:tc>
          <w:tcPr>
            <w:tcW w:w="1160" w:type="dxa"/>
            <w:shd w:val="clear" w:color="auto" w:fill="E0EDE7" w:themeFill="accent3" w:themeFillTint="33"/>
          </w:tcPr>
          <w:p w14:paraId="1979FA91" w14:textId="77777777" w:rsidR="00B32C9A" w:rsidRPr="00412F9A" w:rsidRDefault="00B32C9A" w:rsidP="00BB4A74">
            <w:pPr>
              <w:spacing w:line="240" w:lineRule="auto"/>
            </w:pPr>
          </w:p>
        </w:tc>
        <w:tc>
          <w:tcPr>
            <w:tcW w:w="721" w:type="dxa"/>
            <w:shd w:val="clear" w:color="auto" w:fill="E0EDE7" w:themeFill="accent3" w:themeFillTint="33"/>
          </w:tcPr>
          <w:p w14:paraId="778E4206" w14:textId="77777777" w:rsidR="00B32C9A" w:rsidRPr="00412F9A" w:rsidRDefault="00B32C9A" w:rsidP="00BB4A74">
            <w:pPr>
              <w:spacing w:line="240" w:lineRule="auto"/>
              <w:jc w:val="center"/>
            </w:pPr>
            <w:r>
              <w:t>X</w:t>
            </w:r>
          </w:p>
        </w:tc>
        <w:tc>
          <w:tcPr>
            <w:tcW w:w="1379" w:type="dxa"/>
            <w:shd w:val="clear" w:color="auto" w:fill="E0EDE7" w:themeFill="accent3" w:themeFillTint="33"/>
          </w:tcPr>
          <w:p w14:paraId="2787C69C" w14:textId="77777777" w:rsidR="00B32C9A" w:rsidRPr="00412F9A" w:rsidRDefault="00B32C9A" w:rsidP="00BB4A74">
            <w:pPr>
              <w:spacing w:line="240" w:lineRule="auto"/>
            </w:pPr>
          </w:p>
        </w:tc>
      </w:tr>
      <w:tr w:rsidR="00B32C9A" w:rsidRPr="00412F9A" w14:paraId="3EA7CB95" w14:textId="77777777" w:rsidTr="00BB4A74">
        <w:trPr>
          <w:trHeight w:val="397"/>
        </w:trPr>
        <w:tc>
          <w:tcPr>
            <w:tcW w:w="1061" w:type="dxa"/>
            <w:shd w:val="clear" w:color="auto" w:fill="E0EDE7" w:themeFill="accent3" w:themeFillTint="33"/>
          </w:tcPr>
          <w:p w14:paraId="54AEA94D" w14:textId="77777777" w:rsidR="00B32C9A" w:rsidRPr="00412F9A" w:rsidRDefault="00B32C9A" w:rsidP="00BB4A74">
            <w:pPr>
              <w:spacing w:before="120" w:line="240" w:lineRule="auto"/>
            </w:pPr>
            <w:r w:rsidRPr="00412F9A">
              <w:t>1.6.1</w:t>
            </w:r>
          </w:p>
        </w:tc>
        <w:tc>
          <w:tcPr>
            <w:tcW w:w="1106" w:type="dxa"/>
            <w:shd w:val="clear" w:color="auto" w:fill="E0EDE7" w:themeFill="accent3" w:themeFillTint="33"/>
          </w:tcPr>
          <w:p w14:paraId="4BA1D1A7" w14:textId="77777777" w:rsidR="00B32C9A" w:rsidRPr="00412F9A" w:rsidRDefault="00B32C9A" w:rsidP="00BB4A74">
            <w:pPr>
              <w:spacing w:line="240" w:lineRule="auto"/>
            </w:pPr>
          </w:p>
        </w:tc>
        <w:tc>
          <w:tcPr>
            <w:tcW w:w="713" w:type="dxa"/>
            <w:shd w:val="clear" w:color="auto" w:fill="E0EDE7" w:themeFill="accent3" w:themeFillTint="33"/>
          </w:tcPr>
          <w:p w14:paraId="19F4D5FA"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60C19748" w14:textId="77777777" w:rsidR="00B32C9A" w:rsidRPr="00412F9A" w:rsidRDefault="00B32C9A" w:rsidP="00BB4A74">
            <w:pPr>
              <w:spacing w:line="240" w:lineRule="auto"/>
            </w:pPr>
          </w:p>
        </w:tc>
        <w:tc>
          <w:tcPr>
            <w:tcW w:w="324" w:type="dxa"/>
            <w:tcBorders>
              <w:top w:val="nil"/>
              <w:bottom w:val="nil"/>
            </w:tcBorders>
          </w:tcPr>
          <w:p w14:paraId="7DD59F96" w14:textId="77777777" w:rsidR="00B32C9A" w:rsidRPr="00412F9A" w:rsidRDefault="00B32C9A" w:rsidP="00BB4A74">
            <w:pPr>
              <w:spacing w:line="240" w:lineRule="auto"/>
            </w:pPr>
          </w:p>
        </w:tc>
        <w:tc>
          <w:tcPr>
            <w:tcW w:w="1134" w:type="dxa"/>
            <w:shd w:val="clear" w:color="auto" w:fill="E0EDE7" w:themeFill="accent3" w:themeFillTint="33"/>
          </w:tcPr>
          <w:p w14:paraId="0758360E" w14:textId="77777777" w:rsidR="00B32C9A" w:rsidRPr="00412F9A" w:rsidRDefault="00B32C9A" w:rsidP="00BB4A74">
            <w:pPr>
              <w:spacing w:before="120" w:line="240" w:lineRule="auto"/>
            </w:pPr>
            <w:r w:rsidRPr="00412F9A">
              <w:t>2.5.2</w:t>
            </w:r>
          </w:p>
        </w:tc>
        <w:tc>
          <w:tcPr>
            <w:tcW w:w="1160" w:type="dxa"/>
            <w:shd w:val="clear" w:color="auto" w:fill="E0EDE7" w:themeFill="accent3" w:themeFillTint="33"/>
          </w:tcPr>
          <w:p w14:paraId="5E1E749A" w14:textId="77777777" w:rsidR="00B32C9A" w:rsidRPr="00412F9A" w:rsidRDefault="00B32C9A" w:rsidP="00BB4A74">
            <w:pPr>
              <w:spacing w:line="240" w:lineRule="auto"/>
            </w:pPr>
          </w:p>
        </w:tc>
        <w:tc>
          <w:tcPr>
            <w:tcW w:w="721" w:type="dxa"/>
            <w:shd w:val="clear" w:color="auto" w:fill="E0EDE7" w:themeFill="accent3" w:themeFillTint="33"/>
          </w:tcPr>
          <w:p w14:paraId="516C16A7" w14:textId="77777777" w:rsidR="00B32C9A" w:rsidRPr="00412F9A" w:rsidRDefault="00B32C9A" w:rsidP="00BB4A74">
            <w:pPr>
              <w:spacing w:line="240" w:lineRule="auto"/>
              <w:jc w:val="center"/>
            </w:pPr>
            <w:r>
              <w:t>X</w:t>
            </w:r>
          </w:p>
        </w:tc>
        <w:tc>
          <w:tcPr>
            <w:tcW w:w="1379" w:type="dxa"/>
            <w:shd w:val="clear" w:color="auto" w:fill="E0EDE7" w:themeFill="accent3" w:themeFillTint="33"/>
          </w:tcPr>
          <w:p w14:paraId="3AADF549" w14:textId="77777777" w:rsidR="00B32C9A" w:rsidRPr="00412F9A" w:rsidRDefault="00B32C9A" w:rsidP="00BB4A74">
            <w:pPr>
              <w:spacing w:line="240" w:lineRule="auto"/>
            </w:pPr>
          </w:p>
        </w:tc>
      </w:tr>
      <w:tr w:rsidR="00B32C9A" w:rsidRPr="00412F9A" w14:paraId="4DB81297" w14:textId="77777777" w:rsidTr="00BB4A74">
        <w:trPr>
          <w:trHeight w:val="397"/>
        </w:trPr>
        <w:tc>
          <w:tcPr>
            <w:tcW w:w="1061" w:type="dxa"/>
            <w:shd w:val="clear" w:color="auto" w:fill="E0EDE7" w:themeFill="accent3" w:themeFillTint="33"/>
          </w:tcPr>
          <w:p w14:paraId="4639F9B5" w14:textId="77777777" w:rsidR="00B32C9A" w:rsidRPr="00412F9A" w:rsidRDefault="00B32C9A" w:rsidP="00BB4A74">
            <w:pPr>
              <w:spacing w:before="120" w:line="240" w:lineRule="auto"/>
            </w:pPr>
            <w:r w:rsidRPr="00412F9A">
              <w:t>2.1.1</w:t>
            </w:r>
          </w:p>
        </w:tc>
        <w:tc>
          <w:tcPr>
            <w:tcW w:w="1106" w:type="dxa"/>
            <w:shd w:val="clear" w:color="auto" w:fill="E0EDE7" w:themeFill="accent3" w:themeFillTint="33"/>
          </w:tcPr>
          <w:p w14:paraId="392D61C8" w14:textId="77777777" w:rsidR="00B32C9A" w:rsidRPr="00412F9A" w:rsidRDefault="00B32C9A" w:rsidP="00BB4A74">
            <w:pPr>
              <w:spacing w:line="240" w:lineRule="auto"/>
              <w:jc w:val="center"/>
            </w:pPr>
          </w:p>
        </w:tc>
        <w:tc>
          <w:tcPr>
            <w:tcW w:w="713" w:type="dxa"/>
            <w:shd w:val="clear" w:color="auto" w:fill="E0EDE7" w:themeFill="accent3" w:themeFillTint="33"/>
          </w:tcPr>
          <w:p w14:paraId="1D0D0502"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1785DEEB" w14:textId="77777777" w:rsidR="00B32C9A" w:rsidRPr="00412F9A" w:rsidRDefault="00B32C9A" w:rsidP="00BB4A74">
            <w:pPr>
              <w:spacing w:line="240" w:lineRule="auto"/>
            </w:pPr>
          </w:p>
        </w:tc>
        <w:tc>
          <w:tcPr>
            <w:tcW w:w="324" w:type="dxa"/>
            <w:tcBorders>
              <w:top w:val="nil"/>
              <w:bottom w:val="nil"/>
            </w:tcBorders>
          </w:tcPr>
          <w:p w14:paraId="05C591E6" w14:textId="77777777" w:rsidR="00B32C9A" w:rsidRPr="00412F9A" w:rsidRDefault="00B32C9A" w:rsidP="00BB4A74">
            <w:pPr>
              <w:spacing w:line="240" w:lineRule="auto"/>
            </w:pPr>
          </w:p>
        </w:tc>
        <w:tc>
          <w:tcPr>
            <w:tcW w:w="1134" w:type="dxa"/>
            <w:shd w:val="clear" w:color="auto" w:fill="E0EDE7" w:themeFill="accent3" w:themeFillTint="33"/>
          </w:tcPr>
          <w:p w14:paraId="077AE4B2" w14:textId="77777777" w:rsidR="00B32C9A" w:rsidRPr="00412F9A" w:rsidRDefault="00B32C9A" w:rsidP="00BB4A74">
            <w:pPr>
              <w:spacing w:before="120" w:line="240" w:lineRule="auto"/>
            </w:pPr>
            <w:r w:rsidRPr="00412F9A">
              <w:t>2.6.1</w:t>
            </w:r>
          </w:p>
        </w:tc>
        <w:tc>
          <w:tcPr>
            <w:tcW w:w="1160" w:type="dxa"/>
            <w:shd w:val="clear" w:color="auto" w:fill="E0EDE7" w:themeFill="accent3" w:themeFillTint="33"/>
          </w:tcPr>
          <w:p w14:paraId="10A446BA" w14:textId="77777777" w:rsidR="00B32C9A" w:rsidRPr="00412F9A" w:rsidRDefault="00B32C9A" w:rsidP="00BB4A74">
            <w:pPr>
              <w:spacing w:line="240" w:lineRule="auto"/>
            </w:pPr>
          </w:p>
        </w:tc>
        <w:tc>
          <w:tcPr>
            <w:tcW w:w="721" w:type="dxa"/>
            <w:shd w:val="clear" w:color="auto" w:fill="E0EDE7" w:themeFill="accent3" w:themeFillTint="33"/>
          </w:tcPr>
          <w:p w14:paraId="0939FAAE" w14:textId="77777777" w:rsidR="00B32C9A" w:rsidRPr="00412F9A" w:rsidRDefault="00B32C9A" w:rsidP="00BB4A74">
            <w:pPr>
              <w:spacing w:line="240" w:lineRule="auto"/>
              <w:jc w:val="center"/>
            </w:pPr>
            <w:r>
              <w:t>X</w:t>
            </w:r>
          </w:p>
        </w:tc>
        <w:tc>
          <w:tcPr>
            <w:tcW w:w="1379" w:type="dxa"/>
            <w:shd w:val="clear" w:color="auto" w:fill="E0EDE7" w:themeFill="accent3" w:themeFillTint="33"/>
          </w:tcPr>
          <w:p w14:paraId="1052A607" w14:textId="77777777" w:rsidR="00B32C9A" w:rsidRPr="00412F9A" w:rsidRDefault="00B32C9A" w:rsidP="00BB4A74">
            <w:pPr>
              <w:spacing w:line="240" w:lineRule="auto"/>
            </w:pPr>
          </w:p>
        </w:tc>
      </w:tr>
      <w:tr w:rsidR="00B32C9A" w:rsidRPr="00412F9A" w14:paraId="3644D6A2" w14:textId="77777777" w:rsidTr="00BB4A74">
        <w:trPr>
          <w:trHeight w:val="397"/>
        </w:trPr>
        <w:tc>
          <w:tcPr>
            <w:tcW w:w="1061" w:type="dxa"/>
            <w:shd w:val="clear" w:color="auto" w:fill="E0EDE7" w:themeFill="accent3" w:themeFillTint="33"/>
          </w:tcPr>
          <w:p w14:paraId="29ADFF9A" w14:textId="77777777" w:rsidR="00B32C9A" w:rsidRPr="00412F9A" w:rsidRDefault="00B32C9A" w:rsidP="00BB4A74">
            <w:pPr>
              <w:spacing w:before="120" w:line="240" w:lineRule="auto"/>
            </w:pPr>
            <w:r w:rsidRPr="00412F9A">
              <w:t>2.1.2</w:t>
            </w:r>
          </w:p>
        </w:tc>
        <w:tc>
          <w:tcPr>
            <w:tcW w:w="1106" w:type="dxa"/>
            <w:shd w:val="clear" w:color="auto" w:fill="E0EDE7" w:themeFill="accent3" w:themeFillTint="33"/>
          </w:tcPr>
          <w:p w14:paraId="13337B22" w14:textId="77777777" w:rsidR="00B32C9A" w:rsidRPr="00412F9A" w:rsidRDefault="00B32C9A" w:rsidP="00BB4A74">
            <w:pPr>
              <w:spacing w:line="240" w:lineRule="auto"/>
              <w:jc w:val="center"/>
            </w:pPr>
            <w:r>
              <w:t>X</w:t>
            </w:r>
          </w:p>
        </w:tc>
        <w:tc>
          <w:tcPr>
            <w:tcW w:w="713" w:type="dxa"/>
            <w:shd w:val="clear" w:color="auto" w:fill="E0EDE7" w:themeFill="accent3" w:themeFillTint="33"/>
          </w:tcPr>
          <w:p w14:paraId="39078611" w14:textId="77777777" w:rsidR="00B32C9A" w:rsidRPr="00412F9A" w:rsidRDefault="00B32C9A" w:rsidP="00BB4A74">
            <w:pPr>
              <w:spacing w:line="240" w:lineRule="auto"/>
              <w:jc w:val="center"/>
            </w:pPr>
          </w:p>
        </w:tc>
        <w:tc>
          <w:tcPr>
            <w:tcW w:w="1350" w:type="dxa"/>
            <w:shd w:val="clear" w:color="auto" w:fill="E0EDE7" w:themeFill="accent3" w:themeFillTint="33"/>
          </w:tcPr>
          <w:p w14:paraId="70AF1549" w14:textId="77777777" w:rsidR="00B32C9A" w:rsidRPr="00412F9A" w:rsidRDefault="00B32C9A" w:rsidP="00BB4A74">
            <w:pPr>
              <w:spacing w:line="240" w:lineRule="auto"/>
            </w:pPr>
          </w:p>
        </w:tc>
        <w:tc>
          <w:tcPr>
            <w:tcW w:w="324" w:type="dxa"/>
            <w:tcBorders>
              <w:top w:val="nil"/>
              <w:bottom w:val="nil"/>
            </w:tcBorders>
          </w:tcPr>
          <w:p w14:paraId="07D08CEE" w14:textId="77777777" w:rsidR="00B32C9A" w:rsidRPr="00412F9A" w:rsidRDefault="00B32C9A" w:rsidP="00BB4A74">
            <w:pPr>
              <w:spacing w:line="240" w:lineRule="auto"/>
            </w:pPr>
          </w:p>
        </w:tc>
        <w:tc>
          <w:tcPr>
            <w:tcW w:w="1134" w:type="dxa"/>
            <w:shd w:val="clear" w:color="auto" w:fill="E0EDE7" w:themeFill="accent3" w:themeFillTint="33"/>
          </w:tcPr>
          <w:p w14:paraId="66BB403B" w14:textId="77777777" w:rsidR="00B32C9A" w:rsidRPr="00412F9A" w:rsidRDefault="00B32C9A" w:rsidP="00BB4A74">
            <w:pPr>
              <w:spacing w:before="120" w:line="240" w:lineRule="auto"/>
            </w:pPr>
            <w:r w:rsidRPr="00412F9A">
              <w:t>2.7.1</w:t>
            </w:r>
          </w:p>
        </w:tc>
        <w:tc>
          <w:tcPr>
            <w:tcW w:w="1160" w:type="dxa"/>
            <w:shd w:val="clear" w:color="auto" w:fill="E0EDE7" w:themeFill="accent3" w:themeFillTint="33"/>
          </w:tcPr>
          <w:p w14:paraId="389BF2FF" w14:textId="77777777" w:rsidR="00B32C9A" w:rsidRPr="00412F9A" w:rsidRDefault="00B32C9A" w:rsidP="00BB4A74">
            <w:pPr>
              <w:spacing w:line="240" w:lineRule="auto"/>
            </w:pPr>
          </w:p>
        </w:tc>
        <w:tc>
          <w:tcPr>
            <w:tcW w:w="721" w:type="dxa"/>
            <w:shd w:val="clear" w:color="auto" w:fill="E0EDE7" w:themeFill="accent3" w:themeFillTint="33"/>
          </w:tcPr>
          <w:p w14:paraId="51C5F920" w14:textId="77777777" w:rsidR="00B32C9A" w:rsidRPr="00412F9A" w:rsidRDefault="00B32C9A" w:rsidP="00BB4A74">
            <w:pPr>
              <w:spacing w:line="240" w:lineRule="auto"/>
              <w:jc w:val="center"/>
            </w:pPr>
            <w:r>
              <w:t>X</w:t>
            </w:r>
          </w:p>
        </w:tc>
        <w:tc>
          <w:tcPr>
            <w:tcW w:w="1379" w:type="dxa"/>
            <w:shd w:val="clear" w:color="auto" w:fill="E0EDE7" w:themeFill="accent3" w:themeFillTint="33"/>
          </w:tcPr>
          <w:p w14:paraId="32F32E52" w14:textId="77777777" w:rsidR="00B32C9A" w:rsidRPr="00412F9A" w:rsidRDefault="00B32C9A" w:rsidP="00BB4A74">
            <w:pPr>
              <w:spacing w:line="240" w:lineRule="auto"/>
            </w:pPr>
          </w:p>
        </w:tc>
      </w:tr>
      <w:tr w:rsidR="00B32C9A" w:rsidRPr="00412F9A" w14:paraId="28095880" w14:textId="77777777" w:rsidTr="00BB4A74">
        <w:trPr>
          <w:trHeight w:val="397"/>
        </w:trPr>
        <w:tc>
          <w:tcPr>
            <w:tcW w:w="1061" w:type="dxa"/>
            <w:shd w:val="clear" w:color="auto" w:fill="E0EDE7" w:themeFill="accent3" w:themeFillTint="33"/>
          </w:tcPr>
          <w:p w14:paraId="09EACC56" w14:textId="77777777" w:rsidR="00B32C9A" w:rsidRPr="00412F9A" w:rsidRDefault="00B32C9A" w:rsidP="00BB4A74">
            <w:pPr>
              <w:spacing w:before="120" w:line="240" w:lineRule="auto"/>
            </w:pPr>
            <w:r w:rsidRPr="00412F9A">
              <w:t>2.1.3</w:t>
            </w:r>
          </w:p>
        </w:tc>
        <w:tc>
          <w:tcPr>
            <w:tcW w:w="1106" w:type="dxa"/>
            <w:shd w:val="clear" w:color="auto" w:fill="E0EDE7" w:themeFill="accent3" w:themeFillTint="33"/>
          </w:tcPr>
          <w:p w14:paraId="0FADBDA9" w14:textId="77777777" w:rsidR="00B32C9A" w:rsidRPr="00412F9A" w:rsidRDefault="00B32C9A" w:rsidP="00BB4A74">
            <w:pPr>
              <w:spacing w:line="240" w:lineRule="auto"/>
            </w:pPr>
          </w:p>
        </w:tc>
        <w:tc>
          <w:tcPr>
            <w:tcW w:w="713" w:type="dxa"/>
            <w:shd w:val="clear" w:color="auto" w:fill="E0EDE7" w:themeFill="accent3" w:themeFillTint="33"/>
          </w:tcPr>
          <w:p w14:paraId="1751BBA3"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35981B61" w14:textId="77777777" w:rsidR="00B32C9A" w:rsidRPr="00412F9A" w:rsidRDefault="00B32C9A" w:rsidP="00BB4A74">
            <w:pPr>
              <w:spacing w:line="240" w:lineRule="auto"/>
            </w:pPr>
          </w:p>
        </w:tc>
        <w:tc>
          <w:tcPr>
            <w:tcW w:w="324" w:type="dxa"/>
            <w:tcBorders>
              <w:top w:val="nil"/>
              <w:bottom w:val="nil"/>
            </w:tcBorders>
          </w:tcPr>
          <w:p w14:paraId="275F36CD" w14:textId="77777777" w:rsidR="00B32C9A" w:rsidRPr="00412F9A" w:rsidRDefault="00B32C9A" w:rsidP="00BB4A74">
            <w:pPr>
              <w:spacing w:line="240" w:lineRule="auto"/>
            </w:pPr>
          </w:p>
        </w:tc>
        <w:tc>
          <w:tcPr>
            <w:tcW w:w="1134" w:type="dxa"/>
            <w:shd w:val="clear" w:color="auto" w:fill="E0EDE7" w:themeFill="accent3" w:themeFillTint="33"/>
          </w:tcPr>
          <w:p w14:paraId="0AC612CB" w14:textId="77777777" w:rsidR="00B32C9A" w:rsidRPr="00412F9A" w:rsidRDefault="00B32C9A" w:rsidP="00BB4A74">
            <w:pPr>
              <w:spacing w:before="120" w:line="240" w:lineRule="auto"/>
            </w:pPr>
            <w:r w:rsidRPr="00412F9A">
              <w:t>2.7.2</w:t>
            </w:r>
          </w:p>
        </w:tc>
        <w:tc>
          <w:tcPr>
            <w:tcW w:w="1160" w:type="dxa"/>
            <w:shd w:val="clear" w:color="auto" w:fill="E0EDE7" w:themeFill="accent3" w:themeFillTint="33"/>
          </w:tcPr>
          <w:p w14:paraId="6BCBB1B0" w14:textId="77777777" w:rsidR="00B32C9A" w:rsidRPr="00412F9A" w:rsidRDefault="00B32C9A" w:rsidP="00BB4A74">
            <w:pPr>
              <w:spacing w:line="240" w:lineRule="auto"/>
            </w:pPr>
          </w:p>
        </w:tc>
        <w:tc>
          <w:tcPr>
            <w:tcW w:w="721" w:type="dxa"/>
            <w:shd w:val="clear" w:color="auto" w:fill="E0EDE7" w:themeFill="accent3" w:themeFillTint="33"/>
          </w:tcPr>
          <w:p w14:paraId="006C92C5" w14:textId="77777777" w:rsidR="00B32C9A" w:rsidRPr="00412F9A" w:rsidRDefault="00B32C9A" w:rsidP="00BB4A74">
            <w:pPr>
              <w:spacing w:line="240" w:lineRule="auto"/>
              <w:jc w:val="center"/>
            </w:pPr>
            <w:r>
              <w:t>X</w:t>
            </w:r>
          </w:p>
        </w:tc>
        <w:tc>
          <w:tcPr>
            <w:tcW w:w="1379" w:type="dxa"/>
            <w:shd w:val="clear" w:color="auto" w:fill="E0EDE7" w:themeFill="accent3" w:themeFillTint="33"/>
          </w:tcPr>
          <w:p w14:paraId="60473D59" w14:textId="77777777" w:rsidR="00B32C9A" w:rsidRPr="00412F9A" w:rsidRDefault="00B32C9A" w:rsidP="00BB4A74">
            <w:pPr>
              <w:spacing w:line="240" w:lineRule="auto"/>
            </w:pPr>
          </w:p>
        </w:tc>
      </w:tr>
      <w:tr w:rsidR="00B32C9A" w:rsidRPr="00412F9A" w14:paraId="228B7E11" w14:textId="77777777" w:rsidTr="00BB4A74">
        <w:trPr>
          <w:trHeight w:val="397"/>
        </w:trPr>
        <w:tc>
          <w:tcPr>
            <w:tcW w:w="1061" w:type="dxa"/>
            <w:shd w:val="clear" w:color="auto" w:fill="E0EDE7" w:themeFill="accent3" w:themeFillTint="33"/>
          </w:tcPr>
          <w:p w14:paraId="0994EB4A" w14:textId="77777777" w:rsidR="00B32C9A" w:rsidRPr="00412F9A" w:rsidRDefault="00B32C9A" w:rsidP="00BB4A74">
            <w:pPr>
              <w:spacing w:before="120" w:line="240" w:lineRule="auto"/>
            </w:pPr>
            <w:r w:rsidRPr="00412F9A">
              <w:t>2.2.1</w:t>
            </w:r>
          </w:p>
        </w:tc>
        <w:tc>
          <w:tcPr>
            <w:tcW w:w="1106" w:type="dxa"/>
            <w:shd w:val="clear" w:color="auto" w:fill="E0EDE7" w:themeFill="accent3" w:themeFillTint="33"/>
          </w:tcPr>
          <w:p w14:paraId="31131F9E" w14:textId="77777777" w:rsidR="00B32C9A" w:rsidRPr="00412F9A" w:rsidRDefault="00B32C9A" w:rsidP="00BB4A74">
            <w:pPr>
              <w:spacing w:line="240" w:lineRule="auto"/>
            </w:pPr>
          </w:p>
        </w:tc>
        <w:tc>
          <w:tcPr>
            <w:tcW w:w="713" w:type="dxa"/>
            <w:shd w:val="clear" w:color="auto" w:fill="E0EDE7" w:themeFill="accent3" w:themeFillTint="33"/>
          </w:tcPr>
          <w:p w14:paraId="45B0D0E8"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2B4B2C53" w14:textId="77777777" w:rsidR="00B32C9A" w:rsidRPr="00412F9A" w:rsidRDefault="00B32C9A" w:rsidP="00BB4A74">
            <w:pPr>
              <w:spacing w:line="240" w:lineRule="auto"/>
            </w:pPr>
          </w:p>
        </w:tc>
        <w:tc>
          <w:tcPr>
            <w:tcW w:w="324" w:type="dxa"/>
            <w:tcBorders>
              <w:top w:val="nil"/>
              <w:bottom w:val="nil"/>
            </w:tcBorders>
          </w:tcPr>
          <w:p w14:paraId="7DF03009" w14:textId="77777777" w:rsidR="00B32C9A" w:rsidRPr="00412F9A" w:rsidRDefault="00B32C9A" w:rsidP="00BB4A74">
            <w:pPr>
              <w:spacing w:line="240" w:lineRule="auto"/>
            </w:pPr>
          </w:p>
        </w:tc>
        <w:tc>
          <w:tcPr>
            <w:tcW w:w="1134" w:type="dxa"/>
            <w:shd w:val="clear" w:color="auto" w:fill="E0EDE7" w:themeFill="accent3" w:themeFillTint="33"/>
          </w:tcPr>
          <w:p w14:paraId="026FB8D8" w14:textId="77777777" w:rsidR="00B32C9A" w:rsidRPr="00412F9A" w:rsidRDefault="00B32C9A" w:rsidP="00BB4A74">
            <w:pPr>
              <w:spacing w:before="120" w:line="240" w:lineRule="auto"/>
            </w:pPr>
            <w:r w:rsidRPr="00412F9A">
              <w:t>2.7.3</w:t>
            </w:r>
          </w:p>
        </w:tc>
        <w:tc>
          <w:tcPr>
            <w:tcW w:w="1160" w:type="dxa"/>
            <w:shd w:val="clear" w:color="auto" w:fill="E0EDE7" w:themeFill="accent3" w:themeFillTint="33"/>
          </w:tcPr>
          <w:p w14:paraId="1312D56B" w14:textId="77777777" w:rsidR="00B32C9A" w:rsidRPr="00412F9A" w:rsidRDefault="00B32C9A" w:rsidP="00BB4A74">
            <w:pPr>
              <w:spacing w:line="240" w:lineRule="auto"/>
            </w:pPr>
          </w:p>
        </w:tc>
        <w:tc>
          <w:tcPr>
            <w:tcW w:w="721" w:type="dxa"/>
            <w:shd w:val="clear" w:color="auto" w:fill="E0EDE7" w:themeFill="accent3" w:themeFillTint="33"/>
          </w:tcPr>
          <w:p w14:paraId="54921E06" w14:textId="77777777" w:rsidR="00B32C9A" w:rsidRPr="00412F9A" w:rsidRDefault="00B32C9A" w:rsidP="00BB4A74">
            <w:pPr>
              <w:spacing w:line="240" w:lineRule="auto"/>
              <w:jc w:val="center"/>
            </w:pPr>
            <w:r>
              <w:t>X</w:t>
            </w:r>
          </w:p>
        </w:tc>
        <w:tc>
          <w:tcPr>
            <w:tcW w:w="1379" w:type="dxa"/>
            <w:shd w:val="clear" w:color="auto" w:fill="E0EDE7" w:themeFill="accent3" w:themeFillTint="33"/>
          </w:tcPr>
          <w:p w14:paraId="0496A6D9" w14:textId="77777777" w:rsidR="00B32C9A" w:rsidRPr="00412F9A" w:rsidRDefault="00B32C9A" w:rsidP="00BB4A74">
            <w:pPr>
              <w:spacing w:line="240" w:lineRule="auto"/>
            </w:pPr>
          </w:p>
        </w:tc>
      </w:tr>
      <w:tr w:rsidR="00B32C9A" w:rsidRPr="00412F9A" w14:paraId="50D3A669" w14:textId="77777777" w:rsidTr="00BB4A74">
        <w:trPr>
          <w:trHeight w:val="397"/>
        </w:trPr>
        <w:tc>
          <w:tcPr>
            <w:tcW w:w="1061" w:type="dxa"/>
            <w:shd w:val="clear" w:color="auto" w:fill="E0EDE7" w:themeFill="accent3" w:themeFillTint="33"/>
          </w:tcPr>
          <w:p w14:paraId="5C702498" w14:textId="77777777" w:rsidR="00B32C9A" w:rsidRPr="00412F9A" w:rsidRDefault="00B32C9A" w:rsidP="00BB4A74">
            <w:pPr>
              <w:spacing w:before="120" w:line="240" w:lineRule="auto"/>
            </w:pPr>
            <w:r w:rsidRPr="00412F9A">
              <w:t>2.2.2</w:t>
            </w:r>
          </w:p>
        </w:tc>
        <w:tc>
          <w:tcPr>
            <w:tcW w:w="1106" w:type="dxa"/>
            <w:shd w:val="clear" w:color="auto" w:fill="E0EDE7" w:themeFill="accent3" w:themeFillTint="33"/>
          </w:tcPr>
          <w:p w14:paraId="5538D3ED" w14:textId="77777777" w:rsidR="00B32C9A" w:rsidRPr="00412F9A" w:rsidRDefault="00B32C9A" w:rsidP="00BB4A74">
            <w:pPr>
              <w:spacing w:line="240" w:lineRule="auto"/>
            </w:pPr>
          </w:p>
        </w:tc>
        <w:tc>
          <w:tcPr>
            <w:tcW w:w="713" w:type="dxa"/>
            <w:shd w:val="clear" w:color="auto" w:fill="E0EDE7" w:themeFill="accent3" w:themeFillTint="33"/>
          </w:tcPr>
          <w:p w14:paraId="00271CD8"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778A339A" w14:textId="77777777" w:rsidR="00B32C9A" w:rsidRPr="00412F9A" w:rsidRDefault="00B32C9A" w:rsidP="00BB4A74">
            <w:pPr>
              <w:spacing w:line="240" w:lineRule="auto"/>
            </w:pPr>
          </w:p>
        </w:tc>
        <w:tc>
          <w:tcPr>
            <w:tcW w:w="324" w:type="dxa"/>
            <w:tcBorders>
              <w:top w:val="nil"/>
              <w:bottom w:val="nil"/>
            </w:tcBorders>
          </w:tcPr>
          <w:p w14:paraId="0BEA9070" w14:textId="77777777" w:rsidR="00B32C9A" w:rsidRPr="00412F9A" w:rsidRDefault="00B32C9A" w:rsidP="00BB4A74">
            <w:pPr>
              <w:spacing w:line="240" w:lineRule="auto"/>
            </w:pPr>
          </w:p>
        </w:tc>
        <w:tc>
          <w:tcPr>
            <w:tcW w:w="1134" w:type="dxa"/>
            <w:shd w:val="clear" w:color="auto" w:fill="E0EDE7" w:themeFill="accent3" w:themeFillTint="33"/>
          </w:tcPr>
          <w:p w14:paraId="40B3D35B" w14:textId="77777777" w:rsidR="00B32C9A" w:rsidRPr="00412F9A" w:rsidRDefault="00B32C9A" w:rsidP="00BB4A74">
            <w:pPr>
              <w:spacing w:before="120" w:line="240" w:lineRule="auto"/>
            </w:pPr>
            <w:r w:rsidRPr="00412F9A">
              <w:t>2.7.4</w:t>
            </w:r>
          </w:p>
        </w:tc>
        <w:tc>
          <w:tcPr>
            <w:tcW w:w="1160" w:type="dxa"/>
            <w:shd w:val="clear" w:color="auto" w:fill="E0EDE7" w:themeFill="accent3" w:themeFillTint="33"/>
          </w:tcPr>
          <w:p w14:paraId="4DC02C84" w14:textId="77777777" w:rsidR="00B32C9A" w:rsidRPr="00412F9A" w:rsidRDefault="00B32C9A" w:rsidP="00BB4A74">
            <w:pPr>
              <w:spacing w:line="240" w:lineRule="auto"/>
            </w:pPr>
          </w:p>
        </w:tc>
        <w:tc>
          <w:tcPr>
            <w:tcW w:w="721" w:type="dxa"/>
            <w:shd w:val="clear" w:color="auto" w:fill="E0EDE7" w:themeFill="accent3" w:themeFillTint="33"/>
          </w:tcPr>
          <w:p w14:paraId="6078915A" w14:textId="77777777" w:rsidR="00B32C9A" w:rsidRPr="00412F9A" w:rsidRDefault="00B32C9A" w:rsidP="00BB4A74">
            <w:pPr>
              <w:spacing w:line="240" w:lineRule="auto"/>
              <w:jc w:val="center"/>
            </w:pPr>
            <w:r>
              <w:t>X</w:t>
            </w:r>
          </w:p>
        </w:tc>
        <w:tc>
          <w:tcPr>
            <w:tcW w:w="1379" w:type="dxa"/>
            <w:shd w:val="clear" w:color="auto" w:fill="E0EDE7" w:themeFill="accent3" w:themeFillTint="33"/>
          </w:tcPr>
          <w:p w14:paraId="0C6D1BE4" w14:textId="77777777" w:rsidR="00B32C9A" w:rsidRPr="00412F9A" w:rsidRDefault="00B32C9A" w:rsidP="00BB4A74">
            <w:pPr>
              <w:spacing w:line="240" w:lineRule="auto"/>
            </w:pPr>
          </w:p>
        </w:tc>
      </w:tr>
      <w:tr w:rsidR="00B32C9A" w:rsidRPr="00412F9A" w14:paraId="02D54D23" w14:textId="77777777" w:rsidTr="00BB4A74">
        <w:trPr>
          <w:trHeight w:val="397"/>
        </w:trPr>
        <w:tc>
          <w:tcPr>
            <w:tcW w:w="1061" w:type="dxa"/>
            <w:shd w:val="clear" w:color="auto" w:fill="E0EDE7" w:themeFill="accent3" w:themeFillTint="33"/>
          </w:tcPr>
          <w:p w14:paraId="62A3E6E7" w14:textId="77777777" w:rsidR="00B32C9A" w:rsidRPr="00412F9A" w:rsidRDefault="00B32C9A" w:rsidP="00BB4A74">
            <w:pPr>
              <w:spacing w:before="120" w:line="240" w:lineRule="auto"/>
            </w:pPr>
            <w:r w:rsidRPr="00412F9A">
              <w:t>2.2.3</w:t>
            </w:r>
          </w:p>
        </w:tc>
        <w:tc>
          <w:tcPr>
            <w:tcW w:w="1106" w:type="dxa"/>
            <w:shd w:val="clear" w:color="auto" w:fill="E0EDE7" w:themeFill="accent3" w:themeFillTint="33"/>
          </w:tcPr>
          <w:p w14:paraId="44DE272D" w14:textId="77777777" w:rsidR="00B32C9A" w:rsidRPr="00412F9A" w:rsidRDefault="00B32C9A" w:rsidP="00BB4A74">
            <w:pPr>
              <w:spacing w:line="240" w:lineRule="auto"/>
            </w:pPr>
          </w:p>
        </w:tc>
        <w:tc>
          <w:tcPr>
            <w:tcW w:w="713" w:type="dxa"/>
            <w:shd w:val="clear" w:color="auto" w:fill="E0EDE7" w:themeFill="accent3" w:themeFillTint="33"/>
          </w:tcPr>
          <w:p w14:paraId="1991BB79"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06D1C76F" w14:textId="77777777" w:rsidR="00B32C9A" w:rsidRPr="00412F9A" w:rsidRDefault="00B32C9A" w:rsidP="00BB4A74">
            <w:pPr>
              <w:spacing w:line="240" w:lineRule="auto"/>
            </w:pPr>
          </w:p>
        </w:tc>
        <w:tc>
          <w:tcPr>
            <w:tcW w:w="324" w:type="dxa"/>
            <w:tcBorders>
              <w:top w:val="nil"/>
              <w:bottom w:val="nil"/>
            </w:tcBorders>
          </w:tcPr>
          <w:p w14:paraId="38DCA2D3" w14:textId="77777777" w:rsidR="00B32C9A" w:rsidRPr="00412F9A" w:rsidRDefault="00B32C9A" w:rsidP="00BB4A74">
            <w:pPr>
              <w:spacing w:line="240" w:lineRule="auto"/>
            </w:pPr>
          </w:p>
        </w:tc>
        <w:tc>
          <w:tcPr>
            <w:tcW w:w="1134" w:type="dxa"/>
            <w:shd w:val="clear" w:color="auto" w:fill="E0EDE7" w:themeFill="accent3" w:themeFillTint="33"/>
          </w:tcPr>
          <w:p w14:paraId="035F46A8" w14:textId="77777777" w:rsidR="00B32C9A" w:rsidRPr="00412F9A" w:rsidRDefault="00B32C9A" w:rsidP="00BB4A74">
            <w:pPr>
              <w:spacing w:before="120" w:line="240" w:lineRule="auto"/>
            </w:pPr>
            <w:r w:rsidRPr="00412F9A">
              <w:t>2.7.5</w:t>
            </w:r>
          </w:p>
        </w:tc>
        <w:tc>
          <w:tcPr>
            <w:tcW w:w="1160" w:type="dxa"/>
            <w:shd w:val="clear" w:color="auto" w:fill="E0EDE7" w:themeFill="accent3" w:themeFillTint="33"/>
          </w:tcPr>
          <w:p w14:paraId="792651E0" w14:textId="77777777" w:rsidR="00B32C9A" w:rsidRPr="00412F9A" w:rsidRDefault="00B32C9A" w:rsidP="00BB4A74">
            <w:pPr>
              <w:spacing w:line="240" w:lineRule="auto"/>
            </w:pPr>
          </w:p>
        </w:tc>
        <w:tc>
          <w:tcPr>
            <w:tcW w:w="721" w:type="dxa"/>
            <w:shd w:val="clear" w:color="auto" w:fill="E0EDE7" w:themeFill="accent3" w:themeFillTint="33"/>
          </w:tcPr>
          <w:p w14:paraId="4E1FFD14" w14:textId="77777777" w:rsidR="00B32C9A" w:rsidRPr="00412F9A" w:rsidRDefault="00B32C9A" w:rsidP="00BB4A74">
            <w:pPr>
              <w:spacing w:line="240" w:lineRule="auto"/>
              <w:jc w:val="center"/>
            </w:pPr>
            <w:r>
              <w:t>X</w:t>
            </w:r>
          </w:p>
        </w:tc>
        <w:tc>
          <w:tcPr>
            <w:tcW w:w="1379" w:type="dxa"/>
            <w:shd w:val="clear" w:color="auto" w:fill="E0EDE7" w:themeFill="accent3" w:themeFillTint="33"/>
          </w:tcPr>
          <w:p w14:paraId="3C3CC819" w14:textId="77777777" w:rsidR="00B32C9A" w:rsidRPr="00412F9A" w:rsidRDefault="00B32C9A" w:rsidP="00BB4A74">
            <w:pPr>
              <w:spacing w:line="240" w:lineRule="auto"/>
            </w:pPr>
          </w:p>
        </w:tc>
      </w:tr>
      <w:tr w:rsidR="00B32C9A" w:rsidRPr="00412F9A" w14:paraId="2FA54B3B" w14:textId="77777777" w:rsidTr="00BB4A74">
        <w:trPr>
          <w:trHeight w:val="397"/>
        </w:trPr>
        <w:tc>
          <w:tcPr>
            <w:tcW w:w="1061" w:type="dxa"/>
            <w:shd w:val="clear" w:color="auto" w:fill="E0EDE7" w:themeFill="accent3" w:themeFillTint="33"/>
          </w:tcPr>
          <w:p w14:paraId="4BFCFA53" w14:textId="77777777" w:rsidR="00B32C9A" w:rsidRPr="00412F9A" w:rsidRDefault="00B32C9A" w:rsidP="00BB4A74">
            <w:pPr>
              <w:spacing w:before="120" w:line="240" w:lineRule="auto"/>
            </w:pPr>
            <w:r w:rsidRPr="00412F9A">
              <w:t>2.2.4</w:t>
            </w:r>
          </w:p>
        </w:tc>
        <w:tc>
          <w:tcPr>
            <w:tcW w:w="1106" w:type="dxa"/>
            <w:shd w:val="clear" w:color="auto" w:fill="E0EDE7" w:themeFill="accent3" w:themeFillTint="33"/>
          </w:tcPr>
          <w:p w14:paraId="431C2E5A" w14:textId="77777777" w:rsidR="00B32C9A" w:rsidRPr="00412F9A" w:rsidRDefault="00B32C9A" w:rsidP="00BB4A74">
            <w:pPr>
              <w:spacing w:line="240" w:lineRule="auto"/>
            </w:pPr>
          </w:p>
        </w:tc>
        <w:tc>
          <w:tcPr>
            <w:tcW w:w="713" w:type="dxa"/>
            <w:shd w:val="clear" w:color="auto" w:fill="E0EDE7" w:themeFill="accent3" w:themeFillTint="33"/>
          </w:tcPr>
          <w:p w14:paraId="2B2B0844"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2CE8DCD0" w14:textId="77777777" w:rsidR="00B32C9A" w:rsidRPr="00412F9A" w:rsidRDefault="00B32C9A" w:rsidP="00BB4A74">
            <w:pPr>
              <w:spacing w:line="240" w:lineRule="auto"/>
            </w:pPr>
          </w:p>
        </w:tc>
        <w:tc>
          <w:tcPr>
            <w:tcW w:w="324" w:type="dxa"/>
            <w:tcBorders>
              <w:top w:val="nil"/>
              <w:bottom w:val="nil"/>
            </w:tcBorders>
          </w:tcPr>
          <w:p w14:paraId="7C6BF5AB" w14:textId="77777777" w:rsidR="00B32C9A" w:rsidRPr="00412F9A" w:rsidRDefault="00B32C9A" w:rsidP="00BB4A74">
            <w:pPr>
              <w:spacing w:line="240" w:lineRule="auto"/>
            </w:pPr>
          </w:p>
        </w:tc>
        <w:tc>
          <w:tcPr>
            <w:tcW w:w="1134" w:type="dxa"/>
            <w:tcBorders>
              <w:bottom w:val="single" w:sz="4" w:space="0" w:color="auto"/>
            </w:tcBorders>
            <w:shd w:val="clear" w:color="auto" w:fill="E0EDE7" w:themeFill="accent3" w:themeFillTint="33"/>
          </w:tcPr>
          <w:p w14:paraId="54BCA6B8" w14:textId="77777777" w:rsidR="00B32C9A" w:rsidRPr="00412F9A" w:rsidRDefault="00B32C9A" w:rsidP="00BB4A74">
            <w:pPr>
              <w:spacing w:before="120" w:line="240" w:lineRule="auto"/>
            </w:pPr>
            <w:r w:rsidRPr="00412F9A">
              <w:t>2.8.1</w:t>
            </w:r>
          </w:p>
        </w:tc>
        <w:tc>
          <w:tcPr>
            <w:tcW w:w="1160" w:type="dxa"/>
            <w:tcBorders>
              <w:bottom w:val="single" w:sz="4" w:space="0" w:color="auto"/>
            </w:tcBorders>
            <w:shd w:val="clear" w:color="auto" w:fill="E0EDE7" w:themeFill="accent3" w:themeFillTint="33"/>
          </w:tcPr>
          <w:p w14:paraId="6454B596" w14:textId="77777777" w:rsidR="00B32C9A" w:rsidRPr="00412F9A" w:rsidRDefault="00B32C9A" w:rsidP="00BB4A74">
            <w:pPr>
              <w:spacing w:line="240" w:lineRule="auto"/>
              <w:jc w:val="center"/>
            </w:pPr>
            <w:r>
              <w:t>X</w:t>
            </w:r>
          </w:p>
        </w:tc>
        <w:tc>
          <w:tcPr>
            <w:tcW w:w="721" w:type="dxa"/>
            <w:tcBorders>
              <w:bottom w:val="single" w:sz="4" w:space="0" w:color="auto"/>
            </w:tcBorders>
            <w:shd w:val="clear" w:color="auto" w:fill="E0EDE7" w:themeFill="accent3" w:themeFillTint="33"/>
          </w:tcPr>
          <w:p w14:paraId="20C7260B" w14:textId="77777777" w:rsidR="00B32C9A" w:rsidRPr="00412F9A" w:rsidRDefault="00B32C9A" w:rsidP="00BB4A74">
            <w:pPr>
              <w:spacing w:line="240" w:lineRule="auto"/>
              <w:jc w:val="center"/>
            </w:pPr>
          </w:p>
        </w:tc>
        <w:tc>
          <w:tcPr>
            <w:tcW w:w="1379" w:type="dxa"/>
            <w:tcBorders>
              <w:bottom w:val="single" w:sz="4" w:space="0" w:color="auto"/>
            </w:tcBorders>
            <w:shd w:val="clear" w:color="auto" w:fill="E0EDE7" w:themeFill="accent3" w:themeFillTint="33"/>
          </w:tcPr>
          <w:p w14:paraId="130B32B7" w14:textId="77777777" w:rsidR="00B32C9A" w:rsidRPr="00412F9A" w:rsidRDefault="00B32C9A" w:rsidP="00BB4A74">
            <w:pPr>
              <w:spacing w:line="240" w:lineRule="auto"/>
            </w:pPr>
          </w:p>
        </w:tc>
      </w:tr>
      <w:tr w:rsidR="00B32C9A" w:rsidRPr="00412F9A" w14:paraId="4E448F54" w14:textId="77777777" w:rsidTr="00BB4A74">
        <w:trPr>
          <w:trHeight w:val="397"/>
        </w:trPr>
        <w:tc>
          <w:tcPr>
            <w:tcW w:w="1061" w:type="dxa"/>
            <w:shd w:val="clear" w:color="auto" w:fill="E0EDE7" w:themeFill="accent3" w:themeFillTint="33"/>
          </w:tcPr>
          <w:p w14:paraId="7343EB79" w14:textId="77777777" w:rsidR="00B32C9A" w:rsidRPr="00412F9A" w:rsidRDefault="00B32C9A" w:rsidP="00BB4A74">
            <w:pPr>
              <w:spacing w:before="120" w:line="240" w:lineRule="auto"/>
            </w:pPr>
            <w:r w:rsidRPr="00412F9A">
              <w:t>2.2.5</w:t>
            </w:r>
          </w:p>
        </w:tc>
        <w:tc>
          <w:tcPr>
            <w:tcW w:w="1106" w:type="dxa"/>
            <w:shd w:val="clear" w:color="auto" w:fill="E0EDE7" w:themeFill="accent3" w:themeFillTint="33"/>
          </w:tcPr>
          <w:p w14:paraId="0FAD8762" w14:textId="77777777" w:rsidR="00B32C9A" w:rsidRPr="00412F9A" w:rsidRDefault="00B32C9A" w:rsidP="00BB4A74">
            <w:pPr>
              <w:spacing w:line="240" w:lineRule="auto"/>
            </w:pPr>
          </w:p>
        </w:tc>
        <w:tc>
          <w:tcPr>
            <w:tcW w:w="713" w:type="dxa"/>
            <w:shd w:val="clear" w:color="auto" w:fill="E0EDE7" w:themeFill="accent3" w:themeFillTint="33"/>
          </w:tcPr>
          <w:p w14:paraId="0F2F68FC"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28DB4FBC" w14:textId="77777777" w:rsidR="00B32C9A" w:rsidRPr="00412F9A" w:rsidRDefault="00B32C9A" w:rsidP="00BB4A74">
            <w:pPr>
              <w:spacing w:line="240" w:lineRule="auto"/>
            </w:pPr>
          </w:p>
        </w:tc>
        <w:tc>
          <w:tcPr>
            <w:tcW w:w="324" w:type="dxa"/>
            <w:tcBorders>
              <w:top w:val="nil"/>
              <w:bottom w:val="nil"/>
              <w:right w:val="single" w:sz="4" w:space="0" w:color="auto"/>
            </w:tcBorders>
          </w:tcPr>
          <w:p w14:paraId="008E9E04" w14:textId="77777777" w:rsidR="00B32C9A" w:rsidRPr="00412F9A" w:rsidRDefault="00B32C9A" w:rsidP="00BB4A74">
            <w:pPr>
              <w:spacing w:line="240" w:lineRule="auto"/>
            </w:pPr>
          </w:p>
        </w:tc>
        <w:tc>
          <w:tcPr>
            <w:tcW w:w="1134" w:type="dxa"/>
            <w:tcBorders>
              <w:left w:val="single" w:sz="4" w:space="0" w:color="auto"/>
              <w:bottom w:val="single" w:sz="4" w:space="0" w:color="auto"/>
              <w:right w:val="single" w:sz="4" w:space="0" w:color="auto"/>
            </w:tcBorders>
            <w:shd w:val="clear" w:color="auto" w:fill="E0EDE7" w:themeFill="accent3" w:themeFillTint="33"/>
          </w:tcPr>
          <w:p w14:paraId="7A50B433" w14:textId="77777777" w:rsidR="00B32C9A" w:rsidRPr="00412F9A" w:rsidRDefault="00B32C9A" w:rsidP="00BB4A74">
            <w:pPr>
              <w:spacing w:before="120" w:line="240" w:lineRule="auto"/>
            </w:pPr>
            <w:r w:rsidRPr="00412F9A">
              <w:t>2.9.1</w:t>
            </w:r>
          </w:p>
        </w:tc>
        <w:tc>
          <w:tcPr>
            <w:tcW w:w="1160" w:type="dxa"/>
            <w:tcBorders>
              <w:left w:val="single" w:sz="4" w:space="0" w:color="auto"/>
              <w:bottom w:val="single" w:sz="4" w:space="0" w:color="auto"/>
              <w:right w:val="single" w:sz="4" w:space="0" w:color="auto"/>
            </w:tcBorders>
            <w:shd w:val="clear" w:color="auto" w:fill="E0EDE7" w:themeFill="accent3" w:themeFillTint="33"/>
          </w:tcPr>
          <w:p w14:paraId="051E03F0" w14:textId="77777777" w:rsidR="00B32C9A" w:rsidRPr="00412F9A" w:rsidRDefault="00B32C9A" w:rsidP="00BB4A74">
            <w:pPr>
              <w:spacing w:line="240" w:lineRule="auto"/>
            </w:pPr>
          </w:p>
        </w:tc>
        <w:tc>
          <w:tcPr>
            <w:tcW w:w="721" w:type="dxa"/>
            <w:tcBorders>
              <w:left w:val="single" w:sz="4" w:space="0" w:color="auto"/>
              <w:bottom w:val="single" w:sz="4" w:space="0" w:color="auto"/>
              <w:right w:val="single" w:sz="4" w:space="0" w:color="auto"/>
            </w:tcBorders>
            <w:shd w:val="clear" w:color="auto" w:fill="E0EDE7" w:themeFill="accent3" w:themeFillTint="33"/>
          </w:tcPr>
          <w:p w14:paraId="6B89D37E" w14:textId="77777777" w:rsidR="00B32C9A" w:rsidRPr="00412F9A" w:rsidRDefault="00B32C9A" w:rsidP="00BB4A74">
            <w:pPr>
              <w:spacing w:line="240" w:lineRule="auto"/>
              <w:jc w:val="center"/>
            </w:pPr>
            <w:r>
              <w:t>X</w:t>
            </w:r>
          </w:p>
        </w:tc>
        <w:tc>
          <w:tcPr>
            <w:tcW w:w="1379" w:type="dxa"/>
            <w:tcBorders>
              <w:left w:val="single" w:sz="4" w:space="0" w:color="auto"/>
              <w:bottom w:val="single" w:sz="4" w:space="0" w:color="auto"/>
              <w:right w:val="single" w:sz="4" w:space="0" w:color="auto"/>
            </w:tcBorders>
            <w:shd w:val="clear" w:color="auto" w:fill="E0EDE7" w:themeFill="accent3" w:themeFillTint="33"/>
          </w:tcPr>
          <w:p w14:paraId="218389A7" w14:textId="77777777" w:rsidR="00B32C9A" w:rsidRPr="00412F9A" w:rsidRDefault="00B32C9A" w:rsidP="00BB4A74">
            <w:pPr>
              <w:spacing w:line="240" w:lineRule="auto"/>
            </w:pPr>
          </w:p>
        </w:tc>
      </w:tr>
      <w:tr w:rsidR="00B32C9A" w:rsidRPr="00412F9A" w14:paraId="7FB6A956" w14:textId="77777777" w:rsidTr="00BB4A74">
        <w:trPr>
          <w:trHeight w:val="397"/>
        </w:trPr>
        <w:tc>
          <w:tcPr>
            <w:tcW w:w="1061" w:type="dxa"/>
            <w:shd w:val="clear" w:color="auto" w:fill="E0EDE7" w:themeFill="accent3" w:themeFillTint="33"/>
          </w:tcPr>
          <w:p w14:paraId="373B642E" w14:textId="77777777" w:rsidR="00B32C9A" w:rsidRPr="00412F9A" w:rsidRDefault="00B32C9A" w:rsidP="00BB4A74">
            <w:pPr>
              <w:spacing w:before="120" w:line="240" w:lineRule="auto"/>
            </w:pPr>
            <w:r w:rsidRPr="00412F9A">
              <w:t>2.2.6</w:t>
            </w:r>
          </w:p>
        </w:tc>
        <w:tc>
          <w:tcPr>
            <w:tcW w:w="1106" w:type="dxa"/>
            <w:shd w:val="clear" w:color="auto" w:fill="E0EDE7" w:themeFill="accent3" w:themeFillTint="33"/>
          </w:tcPr>
          <w:p w14:paraId="7C7F0A4E" w14:textId="77777777" w:rsidR="00B32C9A" w:rsidRPr="00412F9A" w:rsidRDefault="00B32C9A" w:rsidP="00BB4A74">
            <w:pPr>
              <w:spacing w:line="240" w:lineRule="auto"/>
            </w:pPr>
          </w:p>
        </w:tc>
        <w:tc>
          <w:tcPr>
            <w:tcW w:w="713" w:type="dxa"/>
            <w:shd w:val="clear" w:color="auto" w:fill="E0EDE7" w:themeFill="accent3" w:themeFillTint="33"/>
          </w:tcPr>
          <w:p w14:paraId="30BB4B1F"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1C3DB69C" w14:textId="77777777" w:rsidR="00B32C9A" w:rsidRPr="00412F9A" w:rsidRDefault="00B32C9A" w:rsidP="00BB4A74">
            <w:pPr>
              <w:spacing w:line="240" w:lineRule="auto"/>
            </w:pPr>
          </w:p>
        </w:tc>
        <w:tc>
          <w:tcPr>
            <w:tcW w:w="324" w:type="dxa"/>
            <w:tcBorders>
              <w:top w:val="nil"/>
              <w:bottom w:val="nil"/>
              <w:right w:val="single" w:sz="4" w:space="0" w:color="auto"/>
            </w:tcBorders>
          </w:tcPr>
          <w:p w14:paraId="06934A0E" w14:textId="77777777" w:rsidR="00B32C9A" w:rsidRPr="00412F9A" w:rsidRDefault="00B32C9A" w:rsidP="00BB4A74">
            <w:pPr>
              <w:spacing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5B8CA438" w14:textId="77777777" w:rsidR="00B32C9A" w:rsidRPr="00412F9A" w:rsidRDefault="00B32C9A" w:rsidP="00BB4A74">
            <w:pPr>
              <w:spacing w:before="120" w:line="240" w:lineRule="auto"/>
            </w:pPr>
            <w:r w:rsidRPr="00412F9A">
              <w:t>2.9.2</w:t>
            </w:r>
          </w:p>
        </w:tc>
        <w:tc>
          <w:tcPr>
            <w:tcW w:w="1160"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3D84EDD5" w14:textId="77777777" w:rsidR="00B32C9A" w:rsidRPr="00412F9A" w:rsidRDefault="00B32C9A" w:rsidP="00BB4A74">
            <w:pPr>
              <w:spacing w:line="240" w:lineRule="auto"/>
            </w:pPr>
          </w:p>
        </w:tc>
        <w:tc>
          <w:tcPr>
            <w:tcW w:w="721"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2FA4D707" w14:textId="77777777" w:rsidR="00B32C9A" w:rsidRPr="00412F9A" w:rsidRDefault="00B32C9A" w:rsidP="00BB4A74">
            <w:pPr>
              <w:spacing w:line="240" w:lineRule="auto"/>
              <w:jc w:val="center"/>
            </w:pPr>
            <w:r>
              <w:t>X</w:t>
            </w:r>
          </w:p>
        </w:tc>
        <w:tc>
          <w:tcPr>
            <w:tcW w:w="1379"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61D9E86E" w14:textId="77777777" w:rsidR="00B32C9A" w:rsidRPr="00412F9A" w:rsidRDefault="00B32C9A" w:rsidP="00BB4A74">
            <w:pPr>
              <w:spacing w:line="240" w:lineRule="auto"/>
            </w:pPr>
          </w:p>
        </w:tc>
      </w:tr>
      <w:tr w:rsidR="00B32C9A" w:rsidRPr="00412F9A" w14:paraId="3A916224" w14:textId="77777777" w:rsidTr="00BB4A74">
        <w:trPr>
          <w:trHeight w:val="397"/>
        </w:trPr>
        <w:tc>
          <w:tcPr>
            <w:tcW w:w="1061" w:type="dxa"/>
            <w:shd w:val="clear" w:color="auto" w:fill="E0EDE7" w:themeFill="accent3" w:themeFillTint="33"/>
          </w:tcPr>
          <w:p w14:paraId="1D8B3F3B" w14:textId="77777777" w:rsidR="00B32C9A" w:rsidRPr="00412F9A" w:rsidRDefault="00B32C9A" w:rsidP="00BB4A74">
            <w:pPr>
              <w:spacing w:before="120" w:line="240" w:lineRule="auto"/>
            </w:pPr>
            <w:r w:rsidRPr="00412F9A">
              <w:t>2.2.7</w:t>
            </w:r>
          </w:p>
        </w:tc>
        <w:tc>
          <w:tcPr>
            <w:tcW w:w="1106" w:type="dxa"/>
            <w:shd w:val="clear" w:color="auto" w:fill="E0EDE7" w:themeFill="accent3" w:themeFillTint="33"/>
          </w:tcPr>
          <w:p w14:paraId="02057EFF" w14:textId="77777777" w:rsidR="00B32C9A" w:rsidRPr="00412F9A" w:rsidRDefault="00B32C9A" w:rsidP="00BB4A74">
            <w:pPr>
              <w:spacing w:line="240" w:lineRule="auto"/>
            </w:pPr>
          </w:p>
        </w:tc>
        <w:tc>
          <w:tcPr>
            <w:tcW w:w="713" w:type="dxa"/>
            <w:shd w:val="clear" w:color="auto" w:fill="E0EDE7" w:themeFill="accent3" w:themeFillTint="33"/>
          </w:tcPr>
          <w:p w14:paraId="27E5B7D5"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32CA2CE4" w14:textId="77777777" w:rsidR="00B32C9A" w:rsidRPr="00412F9A" w:rsidRDefault="00B32C9A" w:rsidP="00BB4A74">
            <w:pPr>
              <w:spacing w:line="240" w:lineRule="auto"/>
            </w:pPr>
          </w:p>
        </w:tc>
        <w:tc>
          <w:tcPr>
            <w:tcW w:w="324" w:type="dxa"/>
            <w:tcBorders>
              <w:top w:val="nil"/>
              <w:bottom w:val="nil"/>
              <w:right w:val="single" w:sz="4" w:space="0" w:color="auto"/>
            </w:tcBorders>
          </w:tcPr>
          <w:p w14:paraId="1128EE63" w14:textId="77777777" w:rsidR="00B32C9A" w:rsidRPr="00412F9A" w:rsidRDefault="00B32C9A" w:rsidP="00BB4A74">
            <w:pPr>
              <w:spacing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6A4E1159" w14:textId="77777777" w:rsidR="00B32C9A" w:rsidRPr="00412F9A" w:rsidRDefault="00B32C9A" w:rsidP="00BB4A74">
            <w:pPr>
              <w:spacing w:before="120" w:line="240" w:lineRule="auto"/>
            </w:pPr>
            <w:r w:rsidRPr="00412F9A">
              <w:t>2.10.1</w:t>
            </w:r>
          </w:p>
        </w:tc>
        <w:tc>
          <w:tcPr>
            <w:tcW w:w="1160"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4FFC64D0" w14:textId="77777777" w:rsidR="00B32C9A" w:rsidRPr="00412F9A" w:rsidRDefault="00B32C9A" w:rsidP="00BB4A74">
            <w:pPr>
              <w:spacing w:line="240" w:lineRule="auto"/>
            </w:pPr>
          </w:p>
        </w:tc>
        <w:tc>
          <w:tcPr>
            <w:tcW w:w="721"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20B46578" w14:textId="77777777" w:rsidR="00B32C9A" w:rsidRPr="00412F9A" w:rsidRDefault="00B32C9A" w:rsidP="00BB4A74">
            <w:pPr>
              <w:spacing w:line="240" w:lineRule="auto"/>
              <w:jc w:val="center"/>
            </w:pPr>
            <w:r>
              <w:t>X</w:t>
            </w:r>
          </w:p>
        </w:tc>
        <w:tc>
          <w:tcPr>
            <w:tcW w:w="1379"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43A56145" w14:textId="77777777" w:rsidR="00B32C9A" w:rsidRPr="00412F9A" w:rsidRDefault="00B32C9A" w:rsidP="00BB4A74">
            <w:pPr>
              <w:spacing w:line="240" w:lineRule="auto"/>
            </w:pPr>
          </w:p>
        </w:tc>
      </w:tr>
      <w:tr w:rsidR="00B32C9A" w:rsidRPr="00412F9A" w14:paraId="7CDF0106" w14:textId="77777777" w:rsidTr="00BB4A74">
        <w:trPr>
          <w:trHeight w:val="397"/>
        </w:trPr>
        <w:tc>
          <w:tcPr>
            <w:tcW w:w="1061" w:type="dxa"/>
            <w:shd w:val="clear" w:color="auto" w:fill="E0EDE7" w:themeFill="accent3" w:themeFillTint="33"/>
          </w:tcPr>
          <w:p w14:paraId="766EE341" w14:textId="77777777" w:rsidR="00B32C9A" w:rsidRPr="00412F9A" w:rsidRDefault="00B32C9A" w:rsidP="00BB4A74">
            <w:pPr>
              <w:spacing w:before="120" w:line="240" w:lineRule="auto"/>
            </w:pPr>
            <w:r w:rsidRPr="00412F9A">
              <w:t>2.2.8</w:t>
            </w:r>
          </w:p>
        </w:tc>
        <w:tc>
          <w:tcPr>
            <w:tcW w:w="1106" w:type="dxa"/>
            <w:shd w:val="clear" w:color="auto" w:fill="E0EDE7" w:themeFill="accent3" w:themeFillTint="33"/>
          </w:tcPr>
          <w:p w14:paraId="17112F33" w14:textId="77777777" w:rsidR="00B32C9A" w:rsidRPr="00412F9A" w:rsidRDefault="00B32C9A" w:rsidP="00BB4A74">
            <w:pPr>
              <w:spacing w:line="240" w:lineRule="auto"/>
            </w:pPr>
          </w:p>
        </w:tc>
        <w:tc>
          <w:tcPr>
            <w:tcW w:w="713" w:type="dxa"/>
            <w:shd w:val="clear" w:color="auto" w:fill="E0EDE7" w:themeFill="accent3" w:themeFillTint="33"/>
          </w:tcPr>
          <w:p w14:paraId="094C714D"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54A34C2C" w14:textId="77777777" w:rsidR="00B32C9A" w:rsidRPr="00412F9A" w:rsidRDefault="00B32C9A" w:rsidP="00BB4A74">
            <w:pPr>
              <w:spacing w:line="240" w:lineRule="auto"/>
            </w:pPr>
          </w:p>
        </w:tc>
        <w:tc>
          <w:tcPr>
            <w:tcW w:w="324" w:type="dxa"/>
            <w:tcBorders>
              <w:top w:val="nil"/>
              <w:bottom w:val="nil"/>
              <w:right w:val="nil"/>
            </w:tcBorders>
          </w:tcPr>
          <w:p w14:paraId="17AE0C7A" w14:textId="77777777" w:rsidR="00B32C9A" w:rsidRPr="00412F9A" w:rsidRDefault="00B32C9A" w:rsidP="00BB4A74">
            <w:pPr>
              <w:spacing w:line="240" w:lineRule="auto"/>
            </w:pPr>
          </w:p>
        </w:tc>
        <w:tc>
          <w:tcPr>
            <w:tcW w:w="1134" w:type="dxa"/>
            <w:tcBorders>
              <w:top w:val="single" w:sz="4" w:space="0" w:color="auto"/>
              <w:left w:val="nil"/>
              <w:bottom w:val="nil"/>
              <w:right w:val="nil"/>
            </w:tcBorders>
            <w:shd w:val="clear" w:color="auto" w:fill="auto"/>
          </w:tcPr>
          <w:p w14:paraId="0B216BA8" w14:textId="77777777" w:rsidR="00B32C9A" w:rsidRPr="00412F9A" w:rsidRDefault="00B32C9A" w:rsidP="00BB4A74">
            <w:pPr>
              <w:spacing w:before="120" w:line="240" w:lineRule="auto"/>
            </w:pPr>
          </w:p>
        </w:tc>
        <w:tc>
          <w:tcPr>
            <w:tcW w:w="1160" w:type="dxa"/>
            <w:tcBorders>
              <w:top w:val="single" w:sz="4" w:space="0" w:color="auto"/>
              <w:left w:val="nil"/>
              <w:bottom w:val="nil"/>
              <w:right w:val="nil"/>
            </w:tcBorders>
            <w:shd w:val="clear" w:color="auto" w:fill="auto"/>
          </w:tcPr>
          <w:p w14:paraId="1C2BBC83" w14:textId="77777777" w:rsidR="00B32C9A" w:rsidRPr="00412F9A" w:rsidRDefault="00B32C9A" w:rsidP="00BB4A74">
            <w:pPr>
              <w:spacing w:line="240" w:lineRule="auto"/>
            </w:pPr>
          </w:p>
        </w:tc>
        <w:tc>
          <w:tcPr>
            <w:tcW w:w="721" w:type="dxa"/>
            <w:tcBorders>
              <w:top w:val="single" w:sz="4" w:space="0" w:color="auto"/>
              <w:left w:val="nil"/>
              <w:bottom w:val="nil"/>
              <w:right w:val="nil"/>
            </w:tcBorders>
            <w:shd w:val="clear" w:color="auto" w:fill="auto"/>
          </w:tcPr>
          <w:p w14:paraId="54EBB512" w14:textId="77777777" w:rsidR="00B32C9A" w:rsidRPr="00412F9A" w:rsidRDefault="00B32C9A" w:rsidP="00BB4A74">
            <w:pPr>
              <w:spacing w:line="240" w:lineRule="auto"/>
            </w:pPr>
          </w:p>
        </w:tc>
        <w:tc>
          <w:tcPr>
            <w:tcW w:w="1379" w:type="dxa"/>
            <w:tcBorders>
              <w:top w:val="single" w:sz="4" w:space="0" w:color="auto"/>
              <w:left w:val="nil"/>
              <w:bottom w:val="nil"/>
              <w:right w:val="nil"/>
            </w:tcBorders>
            <w:shd w:val="clear" w:color="auto" w:fill="auto"/>
          </w:tcPr>
          <w:p w14:paraId="718E5851" w14:textId="77777777" w:rsidR="00B32C9A" w:rsidRPr="00412F9A" w:rsidRDefault="00B32C9A" w:rsidP="00BB4A74">
            <w:pPr>
              <w:spacing w:line="240" w:lineRule="auto"/>
            </w:pPr>
          </w:p>
        </w:tc>
      </w:tr>
      <w:tr w:rsidR="00B32C9A" w:rsidRPr="00412F9A" w14:paraId="1BB301B5" w14:textId="77777777" w:rsidTr="00BB4A74">
        <w:trPr>
          <w:trHeight w:val="397"/>
        </w:trPr>
        <w:tc>
          <w:tcPr>
            <w:tcW w:w="1061" w:type="dxa"/>
            <w:shd w:val="clear" w:color="auto" w:fill="E0EDE7" w:themeFill="accent3" w:themeFillTint="33"/>
          </w:tcPr>
          <w:p w14:paraId="12374F13" w14:textId="77777777" w:rsidR="00B32C9A" w:rsidRPr="00412F9A" w:rsidRDefault="00B32C9A" w:rsidP="00BB4A74">
            <w:pPr>
              <w:spacing w:before="120" w:line="240" w:lineRule="auto"/>
            </w:pPr>
            <w:r w:rsidRPr="00412F9A">
              <w:t>2.2.9</w:t>
            </w:r>
          </w:p>
        </w:tc>
        <w:tc>
          <w:tcPr>
            <w:tcW w:w="1106" w:type="dxa"/>
            <w:shd w:val="clear" w:color="auto" w:fill="E0EDE7" w:themeFill="accent3" w:themeFillTint="33"/>
          </w:tcPr>
          <w:p w14:paraId="6EE1442C" w14:textId="77777777" w:rsidR="00B32C9A" w:rsidRPr="00412F9A" w:rsidRDefault="00B32C9A" w:rsidP="00BB4A74">
            <w:pPr>
              <w:spacing w:line="240" w:lineRule="auto"/>
            </w:pPr>
          </w:p>
        </w:tc>
        <w:tc>
          <w:tcPr>
            <w:tcW w:w="713" w:type="dxa"/>
            <w:shd w:val="clear" w:color="auto" w:fill="E0EDE7" w:themeFill="accent3" w:themeFillTint="33"/>
          </w:tcPr>
          <w:p w14:paraId="530135A2"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7073662F" w14:textId="77777777" w:rsidR="00B32C9A" w:rsidRPr="00412F9A" w:rsidRDefault="00B32C9A" w:rsidP="00BB4A74">
            <w:pPr>
              <w:spacing w:line="240" w:lineRule="auto"/>
            </w:pPr>
          </w:p>
        </w:tc>
        <w:tc>
          <w:tcPr>
            <w:tcW w:w="324" w:type="dxa"/>
            <w:tcBorders>
              <w:top w:val="nil"/>
              <w:bottom w:val="nil"/>
              <w:right w:val="nil"/>
            </w:tcBorders>
          </w:tcPr>
          <w:p w14:paraId="16240D37" w14:textId="77777777" w:rsidR="00B32C9A" w:rsidRPr="00412F9A" w:rsidRDefault="00B32C9A" w:rsidP="00BB4A74">
            <w:pPr>
              <w:spacing w:line="240" w:lineRule="auto"/>
            </w:pPr>
          </w:p>
        </w:tc>
        <w:tc>
          <w:tcPr>
            <w:tcW w:w="1134" w:type="dxa"/>
            <w:tcBorders>
              <w:top w:val="nil"/>
              <w:left w:val="nil"/>
              <w:bottom w:val="nil"/>
              <w:right w:val="nil"/>
            </w:tcBorders>
            <w:shd w:val="clear" w:color="auto" w:fill="auto"/>
          </w:tcPr>
          <w:p w14:paraId="001BBF71" w14:textId="77777777" w:rsidR="00B32C9A" w:rsidRPr="00412F9A" w:rsidRDefault="00B32C9A" w:rsidP="00BB4A74">
            <w:pPr>
              <w:spacing w:before="120" w:line="240" w:lineRule="auto"/>
            </w:pPr>
          </w:p>
        </w:tc>
        <w:tc>
          <w:tcPr>
            <w:tcW w:w="1160" w:type="dxa"/>
            <w:tcBorders>
              <w:top w:val="nil"/>
              <w:left w:val="nil"/>
              <w:bottom w:val="nil"/>
              <w:right w:val="nil"/>
            </w:tcBorders>
            <w:shd w:val="clear" w:color="auto" w:fill="auto"/>
          </w:tcPr>
          <w:p w14:paraId="438BF7F7" w14:textId="77777777" w:rsidR="00B32C9A" w:rsidRPr="00412F9A" w:rsidRDefault="00B32C9A" w:rsidP="00BB4A74">
            <w:pPr>
              <w:spacing w:line="240" w:lineRule="auto"/>
            </w:pPr>
          </w:p>
        </w:tc>
        <w:tc>
          <w:tcPr>
            <w:tcW w:w="721" w:type="dxa"/>
            <w:tcBorders>
              <w:top w:val="nil"/>
              <w:left w:val="nil"/>
              <w:bottom w:val="nil"/>
              <w:right w:val="nil"/>
            </w:tcBorders>
            <w:shd w:val="clear" w:color="auto" w:fill="auto"/>
          </w:tcPr>
          <w:p w14:paraId="6BB4951F" w14:textId="77777777" w:rsidR="00B32C9A" w:rsidRPr="00412F9A" w:rsidRDefault="00B32C9A" w:rsidP="00BB4A74">
            <w:pPr>
              <w:spacing w:line="240" w:lineRule="auto"/>
            </w:pPr>
          </w:p>
        </w:tc>
        <w:tc>
          <w:tcPr>
            <w:tcW w:w="1379" w:type="dxa"/>
            <w:tcBorders>
              <w:top w:val="nil"/>
              <w:left w:val="nil"/>
              <w:bottom w:val="nil"/>
              <w:right w:val="nil"/>
            </w:tcBorders>
            <w:shd w:val="clear" w:color="auto" w:fill="auto"/>
          </w:tcPr>
          <w:p w14:paraId="09C9BF0D" w14:textId="77777777" w:rsidR="00B32C9A" w:rsidRPr="00412F9A" w:rsidRDefault="00B32C9A" w:rsidP="00BB4A74">
            <w:pPr>
              <w:spacing w:line="240" w:lineRule="auto"/>
            </w:pPr>
          </w:p>
        </w:tc>
      </w:tr>
    </w:tbl>
    <w:p w14:paraId="3D554822" w14:textId="77777777" w:rsidR="00B32C9A" w:rsidRDefault="00B32C9A" w:rsidP="00B32C9A"/>
    <w:p w14:paraId="0BBD0FDB" w14:textId="77777777" w:rsidR="00B32C9A" w:rsidRDefault="00B32C9A" w:rsidP="00B32C9A"/>
    <w:p w14:paraId="6F15ED51" w14:textId="77777777" w:rsidR="00B32C9A" w:rsidRDefault="00B32C9A" w:rsidP="00B32C9A"/>
    <w:p w14:paraId="373E3570" w14:textId="77777777" w:rsidR="00B32C9A" w:rsidRDefault="00B32C9A" w:rsidP="00B32C9A"/>
    <w:p w14:paraId="6894CAA6" w14:textId="77777777" w:rsidR="00B32C9A" w:rsidRDefault="00B32C9A" w:rsidP="00B32C9A"/>
    <w:p w14:paraId="2F2F2EA7" w14:textId="77777777" w:rsidR="00B32C9A" w:rsidRDefault="00B32C9A" w:rsidP="00B32C9A"/>
    <w:p w14:paraId="401D892C" w14:textId="77777777" w:rsidR="00B32C9A" w:rsidRDefault="00B32C9A" w:rsidP="00B32C9A"/>
    <w:p w14:paraId="482421EB" w14:textId="77777777" w:rsidR="00B32C9A" w:rsidRDefault="00B32C9A" w:rsidP="00B32C9A"/>
    <w:p w14:paraId="2D361268" w14:textId="77777777" w:rsidR="00B32C9A" w:rsidRPr="00AC4E41" w:rsidRDefault="00B32C9A" w:rsidP="00B32C9A">
      <w:pPr>
        <w:rPr>
          <w:b/>
        </w:rPr>
      </w:pPr>
      <w:r>
        <w:lastRenderedPageBreak/>
        <w:t>Table 3</w:t>
      </w:r>
      <w:r w:rsidRPr="00412F9A">
        <w:t xml:space="preserve">. </w:t>
      </w:r>
      <w:r>
        <w:t>Overview of results from the risk assessment of all indicators</w:t>
      </w:r>
      <w:r w:rsidRPr="00412F9A">
        <w:t xml:space="preserve"> (</w:t>
      </w:r>
      <w:r>
        <w:t xml:space="preserve">prior to </w:t>
      </w:r>
      <w:r w:rsidRPr="00412F9A">
        <w:t>SVP)</w:t>
      </w:r>
      <w:r>
        <w:t xml:space="preserve"> - </w:t>
      </w:r>
      <w:r w:rsidRPr="00AC4E41">
        <w:rPr>
          <w:b/>
        </w:rPr>
        <w:t>Estonia</w:t>
      </w:r>
    </w:p>
    <w:tbl>
      <w:tblPr>
        <w:tblStyle w:val="Reatabula"/>
        <w:tblW w:w="8948" w:type="dxa"/>
        <w:tblInd w:w="828" w:type="dxa"/>
        <w:tblLook w:val="04A0" w:firstRow="1" w:lastRow="0" w:firstColumn="1" w:lastColumn="0" w:noHBand="0" w:noVBand="1"/>
      </w:tblPr>
      <w:tblGrid>
        <w:gridCol w:w="1062"/>
        <w:gridCol w:w="1106"/>
        <w:gridCol w:w="679"/>
        <w:gridCol w:w="1350"/>
        <w:gridCol w:w="333"/>
        <w:gridCol w:w="1251"/>
        <w:gridCol w:w="1106"/>
        <w:gridCol w:w="704"/>
        <w:gridCol w:w="1357"/>
      </w:tblGrid>
      <w:tr w:rsidR="00B32C9A" w:rsidRPr="00412F9A" w14:paraId="583E542B" w14:textId="77777777" w:rsidTr="00BB4A74">
        <w:trPr>
          <w:trHeight w:val="397"/>
        </w:trPr>
        <w:tc>
          <w:tcPr>
            <w:tcW w:w="1061" w:type="dxa"/>
            <w:vMerge w:val="restart"/>
            <w:shd w:val="clear" w:color="auto" w:fill="A3CAB8" w:themeFill="accent3" w:themeFillTint="99"/>
            <w:vAlign w:val="center"/>
          </w:tcPr>
          <w:p w14:paraId="0E6CF80D" w14:textId="77777777" w:rsidR="00B32C9A" w:rsidRPr="00412F9A" w:rsidRDefault="00B32C9A" w:rsidP="00BB4A74">
            <w:pPr>
              <w:spacing w:line="240" w:lineRule="auto"/>
              <w:rPr>
                <w:b/>
              </w:rPr>
            </w:pPr>
            <w:r w:rsidRPr="00412F9A">
              <w:rPr>
                <w:b/>
              </w:rPr>
              <w:t>Indi</w:t>
            </w:r>
            <w:r>
              <w:rPr>
                <w:b/>
              </w:rPr>
              <w:t>c</w:t>
            </w:r>
            <w:r w:rsidRPr="00412F9A">
              <w:rPr>
                <w:b/>
              </w:rPr>
              <w:t>ator</w:t>
            </w:r>
          </w:p>
        </w:tc>
        <w:tc>
          <w:tcPr>
            <w:tcW w:w="3144" w:type="dxa"/>
            <w:gridSpan w:val="3"/>
            <w:shd w:val="clear" w:color="auto" w:fill="A3CAB8" w:themeFill="accent3" w:themeFillTint="99"/>
          </w:tcPr>
          <w:p w14:paraId="0574BD27" w14:textId="77777777" w:rsidR="00B32C9A" w:rsidRPr="00412F9A" w:rsidRDefault="00B32C9A" w:rsidP="00BB4A74">
            <w:pPr>
              <w:spacing w:before="120" w:line="240" w:lineRule="auto"/>
              <w:jc w:val="center"/>
              <w:rPr>
                <w:b/>
              </w:rPr>
            </w:pPr>
            <w:r>
              <w:rPr>
                <w:b/>
              </w:rPr>
              <w:t>Initial Risk Rating</w:t>
            </w:r>
          </w:p>
        </w:tc>
        <w:tc>
          <w:tcPr>
            <w:tcW w:w="349" w:type="dxa"/>
            <w:tcBorders>
              <w:top w:val="nil"/>
              <w:bottom w:val="nil"/>
            </w:tcBorders>
            <w:shd w:val="clear" w:color="auto" w:fill="auto"/>
          </w:tcPr>
          <w:p w14:paraId="6A893E02" w14:textId="77777777" w:rsidR="00B32C9A" w:rsidRPr="00412F9A" w:rsidRDefault="00B32C9A" w:rsidP="00BB4A74">
            <w:pPr>
              <w:spacing w:line="240" w:lineRule="auto"/>
            </w:pPr>
          </w:p>
        </w:tc>
        <w:tc>
          <w:tcPr>
            <w:tcW w:w="1278" w:type="dxa"/>
            <w:vMerge w:val="restart"/>
            <w:shd w:val="clear" w:color="auto" w:fill="A3CAB8" w:themeFill="accent3" w:themeFillTint="99"/>
            <w:vAlign w:val="center"/>
          </w:tcPr>
          <w:p w14:paraId="2E1CBF73" w14:textId="77777777" w:rsidR="00B32C9A" w:rsidRPr="00412F9A" w:rsidRDefault="00B32C9A" w:rsidP="00BB4A74">
            <w:pPr>
              <w:spacing w:line="240" w:lineRule="auto"/>
              <w:rPr>
                <w:b/>
              </w:rPr>
            </w:pPr>
            <w:r>
              <w:rPr>
                <w:b/>
              </w:rPr>
              <w:t>Indicator</w:t>
            </w:r>
          </w:p>
        </w:tc>
        <w:tc>
          <w:tcPr>
            <w:tcW w:w="3116" w:type="dxa"/>
            <w:gridSpan w:val="3"/>
            <w:shd w:val="clear" w:color="auto" w:fill="A3CAB8" w:themeFill="accent3" w:themeFillTint="99"/>
          </w:tcPr>
          <w:p w14:paraId="1FE967C3" w14:textId="77777777" w:rsidR="00B32C9A" w:rsidRPr="00412F9A" w:rsidRDefault="00B32C9A" w:rsidP="00BB4A74">
            <w:pPr>
              <w:spacing w:before="120" w:line="240" w:lineRule="auto"/>
              <w:jc w:val="center"/>
              <w:rPr>
                <w:b/>
              </w:rPr>
            </w:pPr>
            <w:r>
              <w:rPr>
                <w:b/>
              </w:rPr>
              <w:t>Initial Risk Rating</w:t>
            </w:r>
          </w:p>
        </w:tc>
      </w:tr>
      <w:tr w:rsidR="00B32C9A" w:rsidRPr="00412F9A" w14:paraId="5428A6B5" w14:textId="77777777" w:rsidTr="00BB4A74">
        <w:tc>
          <w:tcPr>
            <w:tcW w:w="1061" w:type="dxa"/>
            <w:vMerge/>
            <w:vAlign w:val="center"/>
          </w:tcPr>
          <w:p w14:paraId="6A2FD587" w14:textId="77777777" w:rsidR="00B32C9A" w:rsidRPr="00412F9A" w:rsidRDefault="00B32C9A" w:rsidP="00BB4A74">
            <w:pPr>
              <w:spacing w:line="240" w:lineRule="auto"/>
              <w:rPr>
                <w:b/>
              </w:rPr>
            </w:pPr>
          </w:p>
        </w:tc>
        <w:tc>
          <w:tcPr>
            <w:tcW w:w="1106" w:type="dxa"/>
            <w:shd w:val="clear" w:color="auto" w:fill="A3CAB8" w:themeFill="accent3" w:themeFillTint="99"/>
          </w:tcPr>
          <w:p w14:paraId="481F8910" w14:textId="77777777" w:rsidR="00B32C9A" w:rsidRPr="00412F9A" w:rsidRDefault="00B32C9A" w:rsidP="00BB4A74">
            <w:pPr>
              <w:spacing w:before="120" w:line="240" w:lineRule="auto"/>
              <w:rPr>
                <w:b/>
              </w:rPr>
            </w:pPr>
            <w:r>
              <w:rPr>
                <w:b/>
              </w:rPr>
              <w:t>Specified</w:t>
            </w:r>
          </w:p>
        </w:tc>
        <w:tc>
          <w:tcPr>
            <w:tcW w:w="688" w:type="dxa"/>
            <w:shd w:val="clear" w:color="auto" w:fill="A3CAB8" w:themeFill="accent3" w:themeFillTint="99"/>
            <w:vAlign w:val="center"/>
          </w:tcPr>
          <w:p w14:paraId="7CDA0FAA" w14:textId="77777777" w:rsidR="00B32C9A" w:rsidRPr="00412F9A" w:rsidRDefault="00B32C9A" w:rsidP="00BB4A74">
            <w:pPr>
              <w:spacing w:before="120" w:line="240" w:lineRule="auto"/>
              <w:rPr>
                <w:b/>
              </w:rPr>
            </w:pPr>
            <w:r>
              <w:rPr>
                <w:b/>
              </w:rPr>
              <w:t>Low</w:t>
            </w:r>
          </w:p>
        </w:tc>
        <w:tc>
          <w:tcPr>
            <w:tcW w:w="1350" w:type="dxa"/>
            <w:shd w:val="clear" w:color="auto" w:fill="A3CAB8" w:themeFill="accent3" w:themeFillTint="99"/>
            <w:vAlign w:val="center"/>
          </w:tcPr>
          <w:p w14:paraId="5497D954" w14:textId="77777777" w:rsidR="00B32C9A" w:rsidRPr="00412F9A" w:rsidRDefault="00B32C9A" w:rsidP="00BB4A74">
            <w:pPr>
              <w:spacing w:before="120" w:line="240" w:lineRule="auto"/>
              <w:rPr>
                <w:b/>
              </w:rPr>
            </w:pPr>
            <w:r>
              <w:rPr>
                <w:b/>
              </w:rPr>
              <w:t>Unspecified</w:t>
            </w:r>
          </w:p>
        </w:tc>
        <w:tc>
          <w:tcPr>
            <w:tcW w:w="349" w:type="dxa"/>
            <w:tcBorders>
              <w:top w:val="nil"/>
              <w:bottom w:val="nil"/>
            </w:tcBorders>
          </w:tcPr>
          <w:p w14:paraId="60794CFF" w14:textId="77777777" w:rsidR="00B32C9A" w:rsidRPr="00412F9A" w:rsidRDefault="00B32C9A" w:rsidP="00BB4A74">
            <w:pPr>
              <w:spacing w:line="240" w:lineRule="auto"/>
            </w:pPr>
          </w:p>
        </w:tc>
        <w:tc>
          <w:tcPr>
            <w:tcW w:w="1278" w:type="dxa"/>
            <w:vMerge/>
          </w:tcPr>
          <w:p w14:paraId="288BB88A" w14:textId="77777777" w:rsidR="00B32C9A" w:rsidRPr="00412F9A" w:rsidRDefault="00B32C9A" w:rsidP="00BB4A74">
            <w:pPr>
              <w:spacing w:line="240" w:lineRule="auto"/>
            </w:pPr>
          </w:p>
        </w:tc>
        <w:tc>
          <w:tcPr>
            <w:tcW w:w="1041" w:type="dxa"/>
            <w:shd w:val="clear" w:color="auto" w:fill="A3CAB8" w:themeFill="accent3" w:themeFillTint="99"/>
          </w:tcPr>
          <w:p w14:paraId="1333612C" w14:textId="77777777" w:rsidR="00B32C9A" w:rsidRPr="00412F9A" w:rsidRDefault="00B32C9A" w:rsidP="00BB4A74">
            <w:pPr>
              <w:spacing w:before="120" w:line="240" w:lineRule="auto"/>
              <w:rPr>
                <w:b/>
              </w:rPr>
            </w:pPr>
            <w:r>
              <w:rPr>
                <w:b/>
              </w:rPr>
              <w:t>Specified</w:t>
            </w:r>
          </w:p>
        </w:tc>
        <w:tc>
          <w:tcPr>
            <w:tcW w:w="717" w:type="dxa"/>
            <w:shd w:val="clear" w:color="auto" w:fill="A3CAB8" w:themeFill="accent3" w:themeFillTint="99"/>
            <w:vAlign w:val="center"/>
          </w:tcPr>
          <w:p w14:paraId="3523A310" w14:textId="77777777" w:rsidR="00B32C9A" w:rsidRPr="00412F9A" w:rsidRDefault="00B32C9A" w:rsidP="00BB4A74">
            <w:pPr>
              <w:spacing w:before="120" w:line="240" w:lineRule="auto"/>
              <w:rPr>
                <w:b/>
              </w:rPr>
            </w:pPr>
            <w:r>
              <w:rPr>
                <w:b/>
              </w:rPr>
              <w:t>Low</w:t>
            </w:r>
          </w:p>
        </w:tc>
        <w:tc>
          <w:tcPr>
            <w:tcW w:w="1358" w:type="dxa"/>
            <w:shd w:val="clear" w:color="auto" w:fill="A3CAB8" w:themeFill="accent3" w:themeFillTint="99"/>
            <w:vAlign w:val="center"/>
          </w:tcPr>
          <w:p w14:paraId="33335AA1" w14:textId="77777777" w:rsidR="00B32C9A" w:rsidRPr="00412F9A" w:rsidRDefault="00B32C9A" w:rsidP="00BB4A74">
            <w:pPr>
              <w:spacing w:before="120" w:line="240" w:lineRule="auto"/>
              <w:rPr>
                <w:b/>
              </w:rPr>
            </w:pPr>
            <w:r>
              <w:rPr>
                <w:b/>
              </w:rPr>
              <w:t>Unspecified</w:t>
            </w:r>
          </w:p>
        </w:tc>
      </w:tr>
      <w:tr w:rsidR="00B32C9A" w:rsidRPr="00412F9A" w14:paraId="5EBAA1D4" w14:textId="77777777" w:rsidTr="00BB4A74">
        <w:trPr>
          <w:trHeight w:val="397"/>
        </w:trPr>
        <w:tc>
          <w:tcPr>
            <w:tcW w:w="1061" w:type="dxa"/>
            <w:shd w:val="clear" w:color="auto" w:fill="E0EDE7" w:themeFill="accent3" w:themeFillTint="33"/>
          </w:tcPr>
          <w:p w14:paraId="36904DE3" w14:textId="77777777" w:rsidR="00B32C9A" w:rsidRPr="00412F9A" w:rsidRDefault="00B32C9A" w:rsidP="00BB4A74">
            <w:pPr>
              <w:spacing w:before="120" w:line="240" w:lineRule="auto"/>
            </w:pPr>
            <w:r w:rsidRPr="00412F9A">
              <w:t>1.1.1</w:t>
            </w:r>
          </w:p>
        </w:tc>
        <w:tc>
          <w:tcPr>
            <w:tcW w:w="1106" w:type="dxa"/>
            <w:shd w:val="clear" w:color="auto" w:fill="E0EDE7" w:themeFill="accent3" w:themeFillTint="33"/>
          </w:tcPr>
          <w:p w14:paraId="5908D907" w14:textId="77777777" w:rsidR="00B32C9A" w:rsidRPr="00412F9A" w:rsidRDefault="00B32C9A" w:rsidP="00BB4A74">
            <w:pPr>
              <w:spacing w:line="240" w:lineRule="auto"/>
            </w:pPr>
          </w:p>
        </w:tc>
        <w:tc>
          <w:tcPr>
            <w:tcW w:w="688" w:type="dxa"/>
            <w:shd w:val="clear" w:color="auto" w:fill="E0EDE7" w:themeFill="accent3" w:themeFillTint="33"/>
          </w:tcPr>
          <w:p w14:paraId="437ABA09"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563FB29A" w14:textId="77777777" w:rsidR="00B32C9A" w:rsidRPr="00412F9A" w:rsidRDefault="00B32C9A" w:rsidP="00BB4A74">
            <w:pPr>
              <w:spacing w:line="240" w:lineRule="auto"/>
            </w:pPr>
          </w:p>
        </w:tc>
        <w:tc>
          <w:tcPr>
            <w:tcW w:w="349" w:type="dxa"/>
            <w:tcBorders>
              <w:top w:val="nil"/>
              <w:bottom w:val="nil"/>
            </w:tcBorders>
          </w:tcPr>
          <w:p w14:paraId="64B394C9" w14:textId="77777777" w:rsidR="00B32C9A" w:rsidRPr="00412F9A" w:rsidRDefault="00B32C9A" w:rsidP="00BB4A74">
            <w:pPr>
              <w:spacing w:line="240" w:lineRule="auto"/>
            </w:pPr>
          </w:p>
        </w:tc>
        <w:tc>
          <w:tcPr>
            <w:tcW w:w="1278" w:type="dxa"/>
            <w:shd w:val="clear" w:color="auto" w:fill="E0EDE7" w:themeFill="accent3" w:themeFillTint="33"/>
          </w:tcPr>
          <w:p w14:paraId="585FD0DD" w14:textId="77777777" w:rsidR="00B32C9A" w:rsidRPr="00412F9A" w:rsidRDefault="00B32C9A" w:rsidP="00BB4A74">
            <w:pPr>
              <w:spacing w:before="120" w:line="240" w:lineRule="auto"/>
            </w:pPr>
            <w:r w:rsidRPr="00412F9A">
              <w:t>2.3.1</w:t>
            </w:r>
          </w:p>
        </w:tc>
        <w:tc>
          <w:tcPr>
            <w:tcW w:w="1041" w:type="dxa"/>
            <w:shd w:val="clear" w:color="auto" w:fill="E0EDE7" w:themeFill="accent3" w:themeFillTint="33"/>
          </w:tcPr>
          <w:p w14:paraId="6EDC9310" w14:textId="77777777" w:rsidR="00B32C9A" w:rsidRPr="00412F9A" w:rsidRDefault="00B32C9A" w:rsidP="00BB4A74">
            <w:pPr>
              <w:spacing w:line="240" w:lineRule="auto"/>
            </w:pPr>
          </w:p>
        </w:tc>
        <w:tc>
          <w:tcPr>
            <w:tcW w:w="717" w:type="dxa"/>
            <w:shd w:val="clear" w:color="auto" w:fill="E0EDE7" w:themeFill="accent3" w:themeFillTint="33"/>
          </w:tcPr>
          <w:p w14:paraId="1F02B26B" w14:textId="77777777" w:rsidR="00B32C9A" w:rsidRPr="00412F9A" w:rsidRDefault="00B32C9A" w:rsidP="00BB4A74">
            <w:pPr>
              <w:spacing w:line="240" w:lineRule="auto"/>
              <w:jc w:val="center"/>
            </w:pPr>
            <w:r>
              <w:t>X</w:t>
            </w:r>
          </w:p>
        </w:tc>
        <w:tc>
          <w:tcPr>
            <w:tcW w:w="1358" w:type="dxa"/>
            <w:shd w:val="clear" w:color="auto" w:fill="E0EDE7" w:themeFill="accent3" w:themeFillTint="33"/>
          </w:tcPr>
          <w:p w14:paraId="45837209" w14:textId="77777777" w:rsidR="00B32C9A" w:rsidRPr="00412F9A" w:rsidRDefault="00B32C9A" w:rsidP="00BB4A74">
            <w:pPr>
              <w:spacing w:line="240" w:lineRule="auto"/>
            </w:pPr>
          </w:p>
        </w:tc>
      </w:tr>
      <w:tr w:rsidR="00B32C9A" w:rsidRPr="00412F9A" w14:paraId="53330E13" w14:textId="77777777" w:rsidTr="00BB4A74">
        <w:trPr>
          <w:trHeight w:val="397"/>
        </w:trPr>
        <w:tc>
          <w:tcPr>
            <w:tcW w:w="1061" w:type="dxa"/>
            <w:shd w:val="clear" w:color="auto" w:fill="E0EDE7" w:themeFill="accent3" w:themeFillTint="33"/>
          </w:tcPr>
          <w:p w14:paraId="38DF24B2" w14:textId="77777777" w:rsidR="00B32C9A" w:rsidRPr="00412F9A" w:rsidRDefault="00B32C9A" w:rsidP="00BB4A74">
            <w:pPr>
              <w:spacing w:before="120" w:line="240" w:lineRule="auto"/>
            </w:pPr>
            <w:r w:rsidRPr="00412F9A">
              <w:t>1.1.2</w:t>
            </w:r>
          </w:p>
        </w:tc>
        <w:tc>
          <w:tcPr>
            <w:tcW w:w="1106" w:type="dxa"/>
            <w:shd w:val="clear" w:color="auto" w:fill="E0EDE7" w:themeFill="accent3" w:themeFillTint="33"/>
          </w:tcPr>
          <w:p w14:paraId="638FA2F8" w14:textId="77777777" w:rsidR="00B32C9A" w:rsidRPr="00412F9A" w:rsidRDefault="00B32C9A" w:rsidP="00BB4A74">
            <w:pPr>
              <w:spacing w:line="240" w:lineRule="auto"/>
            </w:pPr>
          </w:p>
        </w:tc>
        <w:tc>
          <w:tcPr>
            <w:tcW w:w="688" w:type="dxa"/>
            <w:shd w:val="clear" w:color="auto" w:fill="E0EDE7" w:themeFill="accent3" w:themeFillTint="33"/>
          </w:tcPr>
          <w:p w14:paraId="186BE9ED"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7EF9D6CD" w14:textId="77777777" w:rsidR="00B32C9A" w:rsidRPr="00412F9A" w:rsidRDefault="00B32C9A" w:rsidP="00BB4A74">
            <w:pPr>
              <w:spacing w:line="240" w:lineRule="auto"/>
            </w:pPr>
          </w:p>
        </w:tc>
        <w:tc>
          <w:tcPr>
            <w:tcW w:w="349" w:type="dxa"/>
            <w:tcBorders>
              <w:top w:val="nil"/>
              <w:bottom w:val="nil"/>
            </w:tcBorders>
          </w:tcPr>
          <w:p w14:paraId="51B26F08" w14:textId="77777777" w:rsidR="00B32C9A" w:rsidRPr="00412F9A" w:rsidRDefault="00B32C9A" w:rsidP="00BB4A74">
            <w:pPr>
              <w:spacing w:line="240" w:lineRule="auto"/>
            </w:pPr>
          </w:p>
        </w:tc>
        <w:tc>
          <w:tcPr>
            <w:tcW w:w="1278" w:type="dxa"/>
            <w:shd w:val="clear" w:color="auto" w:fill="E0EDE7" w:themeFill="accent3" w:themeFillTint="33"/>
          </w:tcPr>
          <w:p w14:paraId="455A69C9" w14:textId="77777777" w:rsidR="00B32C9A" w:rsidRPr="00412F9A" w:rsidRDefault="00B32C9A" w:rsidP="00BB4A74">
            <w:pPr>
              <w:spacing w:before="120" w:line="240" w:lineRule="auto"/>
            </w:pPr>
            <w:r w:rsidRPr="00412F9A">
              <w:t>2.3.2</w:t>
            </w:r>
          </w:p>
        </w:tc>
        <w:tc>
          <w:tcPr>
            <w:tcW w:w="1041" w:type="dxa"/>
            <w:shd w:val="clear" w:color="auto" w:fill="E0EDE7" w:themeFill="accent3" w:themeFillTint="33"/>
          </w:tcPr>
          <w:p w14:paraId="389922BB" w14:textId="77777777" w:rsidR="00B32C9A" w:rsidRPr="00412F9A" w:rsidRDefault="00B32C9A" w:rsidP="00BB4A74">
            <w:pPr>
              <w:spacing w:line="240" w:lineRule="auto"/>
            </w:pPr>
          </w:p>
        </w:tc>
        <w:tc>
          <w:tcPr>
            <w:tcW w:w="717" w:type="dxa"/>
            <w:shd w:val="clear" w:color="auto" w:fill="E0EDE7" w:themeFill="accent3" w:themeFillTint="33"/>
          </w:tcPr>
          <w:p w14:paraId="65D62A30" w14:textId="77777777" w:rsidR="00B32C9A" w:rsidRPr="00412F9A" w:rsidRDefault="00B32C9A" w:rsidP="00BB4A74">
            <w:pPr>
              <w:spacing w:line="240" w:lineRule="auto"/>
              <w:jc w:val="center"/>
            </w:pPr>
            <w:r>
              <w:t>X</w:t>
            </w:r>
          </w:p>
        </w:tc>
        <w:tc>
          <w:tcPr>
            <w:tcW w:w="1358" w:type="dxa"/>
            <w:shd w:val="clear" w:color="auto" w:fill="E0EDE7" w:themeFill="accent3" w:themeFillTint="33"/>
          </w:tcPr>
          <w:p w14:paraId="641D4D80" w14:textId="77777777" w:rsidR="00B32C9A" w:rsidRPr="00412F9A" w:rsidRDefault="00B32C9A" w:rsidP="00BB4A74">
            <w:pPr>
              <w:spacing w:line="240" w:lineRule="auto"/>
            </w:pPr>
          </w:p>
        </w:tc>
      </w:tr>
      <w:tr w:rsidR="00B32C9A" w:rsidRPr="00412F9A" w14:paraId="5D2841CE" w14:textId="77777777" w:rsidTr="00BB4A74">
        <w:trPr>
          <w:trHeight w:val="397"/>
        </w:trPr>
        <w:tc>
          <w:tcPr>
            <w:tcW w:w="1061" w:type="dxa"/>
            <w:shd w:val="clear" w:color="auto" w:fill="E0EDE7" w:themeFill="accent3" w:themeFillTint="33"/>
          </w:tcPr>
          <w:p w14:paraId="68AFE24A" w14:textId="77777777" w:rsidR="00B32C9A" w:rsidRPr="00412F9A" w:rsidRDefault="00B32C9A" w:rsidP="00BB4A74">
            <w:pPr>
              <w:spacing w:before="120" w:line="240" w:lineRule="auto"/>
            </w:pPr>
            <w:r w:rsidRPr="00412F9A">
              <w:t>1.1.3</w:t>
            </w:r>
          </w:p>
        </w:tc>
        <w:tc>
          <w:tcPr>
            <w:tcW w:w="1106" w:type="dxa"/>
            <w:shd w:val="clear" w:color="auto" w:fill="E0EDE7" w:themeFill="accent3" w:themeFillTint="33"/>
          </w:tcPr>
          <w:p w14:paraId="3E892698" w14:textId="77777777" w:rsidR="00B32C9A" w:rsidRPr="00412F9A" w:rsidRDefault="00B32C9A" w:rsidP="00BB4A74">
            <w:pPr>
              <w:spacing w:line="240" w:lineRule="auto"/>
            </w:pPr>
          </w:p>
        </w:tc>
        <w:tc>
          <w:tcPr>
            <w:tcW w:w="688" w:type="dxa"/>
            <w:shd w:val="clear" w:color="auto" w:fill="E0EDE7" w:themeFill="accent3" w:themeFillTint="33"/>
          </w:tcPr>
          <w:p w14:paraId="2E9A7CC5"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77B16C74" w14:textId="77777777" w:rsidR="00B32C9A" w:rsidRPr="00412F9A" w:rsidRDefault="00B32C9A" w:rsidP="00BB4A74">
            <w:pPr>
              <w:spacing w:line="240" w:lineRule="auto"/>
            </w:pPr>
          </w:p>
        </w:tc>
        <w:tc>
          <w:tcPr>
            <w:tcW w:w="349" w:type="dxa"/>
            <w:tcBorders>
              <w:top w:val="nil"/>
              <w:bottom w:val="nil"/>
            </w:tcBorders>
          </w:tcPr>
          <w:p w14:paraId="6C9A84A4" w14:textId="77777777" w:rsidR="00B32C9A" w:rsidRPr="00412F9A" w:rsidRDefault="00B32C9A" w:rsidP="00BB4A74">
            <w:pPr>
              <w:spacing w:line="240" w:lineRule="auto"/>
            </w:pPr>
          </w:p>
        </w:tc>
        <w:tc>
          <w:tcPr>
            <w:tcW w:w="1278" w:type="dxa"/>
            <w:shd w:val="clear" w:color="auto" w:fill="E0EDE7" w:themeFill="accent3" w:themeFillTint="33"/>
          </w:tcPr>
          <w:p w14:paraId="7EDF73FF" w14:textId="77777777" w:rsidR="00B32C9A" w:rsidRPr="00412F9A" w:rsidRDefault="00B32C9A" w:rsidP="00BB4A74">
            <w:pPr>
              <w:spacing w:before="120" w:line="240" w:lineRule="auto"/>
            </w:pPr>
            <w:r w:rsidRPr="00412F9A">
              <w:t>2.3.3</w:t>
            </w:r>
          </w:p>
        </w:tc>
        <w:tc>
          <w:tcPr>
            <w:tcW w:w="1041" w:type="dxa"/>
            <w:shd w:val="clear" w:color="auto" w:fill="E0EDE7" w:themeFill="accent3" w:themeFillTint="33"/>
          </w:tcPr>
          <w:p w14:paraId="5D71F78B" w14:textId="77777777" w:rsidR="00B32C9A" w:rsidRPr="00412F9A" w:rsidRDefault="00B32C9A" w:rsidP="00BB4A74">
            <w:pPr>
              <w:spacing w:line="240" w:lineRule="auto"/>
            </w:pPr>
          </w:p>
        </w:tc>
        <w:tc>
          <w:tcPr>
            <w:tcW w:w="717" w:type="dxa"/>
            <w:shd w:val="clear" w:color="auto" w:fill="E0EDE7" w:themeFill="accent3" w:themeFillTint="33"/>
          </w:tcPr>
          <w:p w14:paraId="78327DB6" w14:textId="77777777" w:rsidR="00B32C9A" w:rsidRPr="00412F9A" w:rsidRDefault="00B32C9A" w:rsidP="00BB4A74">
            <w:pPr>
              <w:spacing w:line="240" w:lineRule="auto"/>
              <w:jc w:val="center"/>
            </w:pPr>
            <w:r>
              <w:t>X</w:t>
            </w:r>
          </w:p>
        </w:tc>
        <w:tc>
          <w:tcPr>
            <w:tcW w:w="1358" w:type="dxa"/>
            <w:shd w:val="clear" w:color="auto" w:fill="E0EDE7" w:themeFill="accent3" w:themeFillTint="33"/>
          </w:tcPr>
          <w:p w14:paraId="440DB6BD" w14:textId="77777777" w:rsidR="00B32C9A" w:rsidRPr="00412F9A" w:rsidRDefault="00B32C9A" w:rsidP="00BB4A74">
            <w:pPr>
              <w:spacing w:line="240" w:lineRule="auto"/>
            </w:pPr>
          </w:p>
        </w:tc>
      </w:tr>
      <w:tr w:rsidR="00B32C9A" w:rsidRPr="00412F9A" w14:paraId="0CE04303" w14:textId="77777777" w:rsidTr="00BB4A74">
        <w:trPr>
          <w:trHeight w:val="397"/>
        </w:trPr>
        <w:tc>
          <w:tcPr>
            <w:tcW w:w="1061" w:type="dxa"/>
            <w:shd w:val="clear" w:color="auto" w:fill="E0EDE7" w:themeFill="accent3" w:themeFillTint="33"/>
          </w:tcPr>
          <w:p w14:paraId="6C71712C" w14:textId="77777777" w:rsidR="00B32C9A" w:rsidRPr="00412F9A" w:rsidRDefault="00B32C9A" w:rsidP="00BB4A74">
            <w:pPr>
              <w:spacing w:before="120" w:line="240" w:lineRule="auto"/>
            </w:pPr>
            <w:r w:rsidRPr="00412F9A">
              <w:t>1.2.1</w:t>
            </w:r>
          </w:p>
        </w:tc>
        <w:tc>
          <w:tcPr>
            <w:tcW w:w="1106" w:type="dxa"/>
            <w:shd w:val="clear" w:color="auto" w:fill="E0EDE7" w:themeFill="accent3" w:themeFillTint="33"/>
          </w:tcPr>
          <w:p w14:paraId="570F900E" w14:textId="77777777" w:rsidR="00B32C9A" w:rsidRPr="00412F9A" w:rsidRDefault="00B32C9A" w:rsidP="00BB4A74">
            <w:pPr>
              <w:spacing w:line="240" w:lineRule="auto"/>
            </w:pPr>
          </w:p>
        </w:tc>
        <w:tc>
          <w:tcPr>
            <w:tcW w:w="688" w:type="dxa"/>
            <w:shd w:val="clear" w:color="auto" w:fill="E0EDE7" w:themeFill="accent3" w:themeFillTint="33"/>
          </w:tcPr>
          <w:p w14:paraId="0B1658A8"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7353EA43" w14:textId="77777777" w:rsidR="00B32C9A" w:rsidRPr="00412F9A" w:rsidRDefault="00B32C9A" w:rsidP="00BB4A74">
            <w:pPr>
              <w:spacing w:line="240" w:lineRule="auto"/>
            </w:pPr>
          </w:p>
        </w:tc>
        <w:tc>
          <w:tcPr>
            <w:tcW w:w="349" w:type="dxa"/>
            <w:tcBorders>
              <w:top w:val="nil"/>
              <w:bottom w:val="nil"/>
            </w:tcBorders>
          </w:tcPr>
          <w:p w14:paraId="754F063F" w14:textId="77777777" w:rsidR="00B32C9A" w:rsidRPr="00412F9A" w:rsidRDefault="00B32C9A" w:rsidP="00BB4A74">
            <w:pPr>
              <w:spacing w:line="240" w:lineRule="auto"/>
            </w:pPr>
          </w:p>
        </w:tc>
        <w:tc>
          <w:tcPr>
            <w:tcW w:w="1278" w:type="dxa"/>
            <w:shd w:val="clear" w:color="auto" w:fill="E0EDE7" w:themeFill="accent3" w:themeFillTint="33"/>
          </w:tcPr>
          <w:p w14:paraId="73AF8D1A" w14:textId="77777777" w:rsidR="00B32C9A" w:rsidRPr="00412F9A" w:rsidRDefault="00B32C9A" w:rsidP="00BB4A74">
            <w:pPr>
              <w:spacing w:before="120" w:line="240" w:lineRule="auto"/>
            </w:pPr>
            <w:r w:rsidRPr="00412F9A">
              <w:t>2.4.1</w:t>
            </w:r>
          </w:p>
        </w:tc>
        <w:tc>
          <w:tcPr>
            <w:tcW w:w="1041" w:type="dxa"/>
            <w:shd w:val="clear" w:color="auto" w:fill="E0EDE7" w:themeFill="accent3" w:themeFillTint="33"/>
          </w:tcPr>
          <w:p w14:paraId="30C52624" w14:textId="77777777" w:rsidR="00B32C9A" w:rsidRPr="00412F9A" w:rsidRDefault="00B32C9A" w:rsidP="00BB4A74">
            <w:pPr>
              <w:spacing w:line="240" w:lineRule="auto"/>
            </w:pPr>
          </w:p>
        </w:tc>
        <w:tc>
          <w:tcPr>
            <w:tcW w:w="717" w:type="dxa"/>
            <w:shd w:val="clear" w:color="auto" w:fill="E0EDE7" w:themeFill="accent3" w:themeFillTint="33"/>
          </w:tcPr>
          <w:p w14:paraId="16550B1F" w14:textId="77777777" w:rsidR="00B32C9A" w:rsidRPr="00412F9A" w:rsidRDefault="00B32C9A" w:rsidP="00BB4A74">
            <w:pPr>
              <w:spacing w:line="240" w:lineRule="auto"/>
              <w:jc w:val="center"/>
            </w:pPr>
            <w:r>
              <w:t>X</w:t>
            </w:r>
          </w:p>
        </w:tc>
        <w:tc>
          <w:tcPr>
            <w:tcW w:w="1358" w:type="dxa"/>
            <w:shd w:val="clear" w:color="auto" w:fill="E0EDE7" w:themeFill="accent3" w:themeFillTint="33"/>
          </w:tcPr>
          <w:p w14:paraId="57986825" w14:textId="77777777" w:rsidR="00B32C9A" w:rsidRPr="00412F9A" w:rsidRDefault="00B32C9A" w:rsidP="00BB4A74">
            <w:pPr>
              <w:spacing w:line="240" w:lineRule="auto"/>
            </w:pPr>
          </w:p>
        </w:tc>
      </w:tr>
      <w:tr w:rsidR="00B32C9A" w:rsidRPr="00412F9A" w14:paraId="35C8595A" w14:textId="77777777" w:rsidTr="00BB4A74">
        <w:trPr>
          <w:trHeight w:val="397"/>
        </w:trPr>
        <w:tc>
          <w:tcPr>
            <w:tcW w:w="1061" w:type="dxa"/>
            <w:shd w:val="clear" w:color="auto" w:fill="E0EDE7" w:themeFill="accent3" w:themeFillTint="33"/>
          </w:tcPr>
          <w:p w14:paraId="12778F54" w14:textId="77777777" w:rsidR="00B32C9A" w:rsidRPr="00412F9A" w:rsidRDefault="00B32C9A" w:rsidP="00BB4A74">
            <w:pPr>
              <w:spacing w:before="120" w:line="240" w:lineRule="auto"/>
            </w:pPr>
            <w:r w:rsidRPr="00412F9A">
              <w:t>1.3.1</w:t>
            </w:r>
          </w:p>
        </w:tc>
        <w:tc>
          <w:tcPr>
            <w:tcW w:w="1106" w:type="dxa"/>
            <w:shd w:val="clear" w:color="auto" w:fill="E0EDE7" w:themeFill="accent3" w:themeFillTint="33"/>
          </w:tcPr>
          <w:p w14:paraId="0FC236B3" w14:textId="77777777" w:rsidR="00B32C9A" w:rsidRPr="00412F9A" w:rsidRDefault="00B32C9A" w:rsidP="00BB4A74">
            <w:pPr>
              <w:spacing w:line="240" w:lineRule="auto"/>
            </w:pPr>
          </w:p>
        </w:tc>
        <w:tc>
          <w:tcPr>
            <w:tcW w:w="688" w:type="dxa"/>
            <w:shd w:val="clear" w:color="auto" w:fill="E0EDE7" w:themeFill="accent3" w:themeFillTint="33"/>
          </w:tcPr>
          <w:p w14:paraId="28B938CF"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64C5377C" w14:textId="77777777" w:rsidR="00B32C9A" w:rsidRPr="00412F9A" w:rsidRDefault="00B32C9A" w:rsidP="00BB4A74">
            <w:pPr>
              <w:spacing w:line="240" w:lineRule="auto"/>
            </w:pPr>
          </w:p>
        </w:tc>
        <w:tc>
          <w:tcPr>
            <w:tcW w:w="349" w:type="dxa"/>
            <w:tcBorders>
              <w:top w:val="nil"/>
              <w:bottom w:val="nil"/>
            </w:tcBorders>
          </w:tcPr>
          <w:p w14:paraId="7CEE8B86" w14:textId="77777777" w:rsidR="00B32C9A" w:rsidRPr="00412F9A" w:rsidRDefault="00B32C9A" w:rsidP="00BB4A74">
            <w:pPr>
              <w:spacing w:line="240" w:lineRule="auto"/>
            </w:pPr>
          </w:p>
        </w:tc>
        <w:tc>
          <w:tcPr>
            <w:tcW w:w="1278" w:type="dxa"/>
            <w:shd w:val="clear" w:color="auto" w:fill="E0EDE7" w:themeFill="accent3" w:themeFillTint="33"/>
          </w:tcPr>
          <w:p w14:paraId="666BA111" w14:textId="77777777" w:rsidR="00B32C9A" w:rsidRPr="00412F9A" w:rsidRDefault="00B32C9A" w:rsidP="00BB4A74">
            <w:pPr>
              <w:spacing w:before="120" w:line="240" w:lineRule="auto"/>
            </w:pPr>
            <w:r w:rsidRPr="00412F9A">
              <w:t>2.4.2</w:t>
            </w:r>
          </w:p>
        </w:tc>
        <w:tc>
          <w:tcPr>
            <w:tcW w:w="1041" w:type="dxa"/>
            <w:shd w:val="clear" w:color="auto" w:fill="E0EDE7" w:themeFill="accent3" w:themeFillTint="33"/>
          </w:tcPr>
          <w:p w14:paraId="4A0F0016" w14:textId="77777777" w:rsidR="00B32C9A" w:rsidRPr="00412F9A" w:rsidRDefault="00B32C9A" w:rsidP="00BB4A74">
            <w:pPr>
              <w:spacing w:line="240" w:lineRule="auto"/>
            </w:pPr>
          </w:p>
        </w:tc>
        <w:tc>
          <w:tcPr>
            <w:tcW w:w="717" w:type="dxa"/>
            <w:shd w:val="clear" w:color="auto" w:fill="E0EDE7" w:themeFill="accent3" w:themeFillTint="33"/>
          </w:tcPr>
          <w:p w14:paraId="3C832FF2" w14:textId="77777777" w:rsidR="00B32C9A" w:rsidRPr="00412F9A" w:rsidRDefault="00B32C9A" w:rsidP="00BB4A74">
            <w:pPr>
              <w:spacing w:line="240" w:lineRule="auto"/>
              <w:jc w:val="center"/>
            </w:pPr>
            <w:r>
              <w:t>X</w:t>
            </w:r>
          </w:p>
        </w:tc>
        <w:tc>
          <w:tcPr>
            <w:tcW w:w="1358" w:type="dxa"/>
            <w:shd w:val="clear" w:color="auto" w:fill="E0EDE7" w:themeFill="accent3" w:themeFillTint="33"/>
          </w:tcPr>
          <w:p w14:paraId="0FD33C98" w14:textId="77777777" w:rsidR="00B32C9A" w:rsidRPr="00412F9A" w:rsidRDefault="00B32C9A" w:rsidP="00BB4A74">
            <w:pPr>
              <w:spacing w:line="240" w:lineRule="auto"/>
            </w:pPr>
          </w:p>
        </w:tc>
      </w:tr>
      <w:tr w:rsidR="00B32C9A" w:rsidRPr="00412F9A" w14:paraId="42B55D78" w14:textId="77777777" w:rsidTr="00BB4A74">
        <w:trPr>
          <w:trHeight w:val="397"/>
        </w:trPr>
        <w:tc>
          <w:tcPr>
            <w:tcW w:w="1061" w:type="dxa"/>
            <w:shd w:val="clear" w:color="auto" w:fill="E0EDE7" w:themeFill="accent3" w:themeFillTint="33"/>
          </w:tcPr>
          <w:p w14:paraId="6218AC22" w14:textId="77777777" w:rsidR="00B32C9A" w:rsidRPr="00412F9A" w:rsidRDefault="00B32C9A" w:rsidP="00BB4A74">
            <w:pPr>
              <w:spacing w:before="120" w:line="240" w:lineRule="auto"/>
            </w:pPr>
            <w:r w:rsidRPr="00412F9A">
              <w:t>1.4.1</w:t>
            </w:r>
          </w:p>
        </w:tc>
        <w:tc>
          <w:tcPr>
            <w:tcW w:w="1106" w:type="dxa"/>
            <w:shd w:val="clear" w:color="auto" w:fill="E0EDE7" w:themeFill="accent3" w:themeFillTint="33"/>
          </w:tcPr>
          <w:p w14:paraId="67907768" w14:textId="77777777" w:rsidR="00B32C9A" w:rsidRPr="00412F9A" w:rsidRDefault="00B32C9A" w:rsidP="00BB4A74">
            <w:pPr>
              <w:spacing w:line="240" w:lineRule="auto"/>
            </w:pPr>
          </w:p>
        </w:tc>
        <w:tc>
          <w:tcPr>
            <w:tcW w:w="688" w:type="dxa"/>
            <w:shd w:val="clear" w:color="auto" w:fill="E0EDE7" w:themeFill="accent3" w:themeFillTint="33"/>
          </w:tcPr>
          <w:p w14:paraId="2C41AF91"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6EF91EE5" w14:textId="77777777" w:rsidR="00B32C9A" w:rsidRPr="00412F9A" w:rsidRDefault="00B32C9A" w:rsidP="00BB4A74">
            <w:pPr>
              <w:spacing w:line="240" w:lineRule="auto"/>
            </w:pPr>
          </w:p>
        </w:tc>
        <w:tc>
          <w:tcPr>
            <w:tcW w:w="349" w:type="dxa"/>
            <w:tcBorders>
              <w:top w:val="nil"/>
              <w:bottom w:val="nil"/>
            </w:tcBorders>
          </w:tcPr>
          <w:p w14:paraId="6623337F" w14:textId="77777777" w:rsidR="00B32C9A" w:rsidRPr="00412F9A" w:rsidRDefault="00B32C9A" w:rsidP="00BB4A74">
            <w:pPr>
              <w:spacing w:line="240" w:lineRule="auto"/>
            </w:pPr>
          </w:p>
        </w:tc>
        <w:tc>
          <w:tcPr>
            <w:tcW w:w="1278" w:type="dxa"/>
            <w:shd w:val="clear" w:color="auto" w:fill="E0EDE7" w:themeFill="accent3" w:themeFillTint="33"/>
          </w:tcPr>
          <w:p w14:paraId="6F7B7629" w14:textId="77777777" w:rsidR="00B32C9A" w:rsidRPr="00412F9A" w:rsidRDefault="00B32C9A" w:rsidP="00BB4A74">
            <w:pPr>
              <w:spacing w:before="120" w:line="240" w:lineRule="auto"/>
            </w:pPr>
            <w:r w:rsidRPr="00412F9A">
              <w:t>2.4.3</w:t>
            </w:r>
          </w:p>
        </w:tc>
        <w:tc>
          <w:tcPr>
            <w:tcW w:w="1041" w:type="dxa"/>
            <w:shd w:val="clear" w:color="auto" w:fill="E0EDE7" w:themeFill="accent3" w:themeFillTint="33"/>
          </w:tcPr>
          <w:p w14:paraId="6E70F9BA" w14:textId="77777777" w:rsidR="00B32C9A" w:rsidRPr="00412F9A" w:rsidRDefault="00B32C9A" w:rsidP="00BB4A74">
            <w:pPr>
              <w:spacing w:line="240" w:lineRule="auto"/>
            </w:pPr>
          </w:p>
        </w:tc>
        <w:tc>
          <w:tcPr>
            <w:tcW w:w="717" w:type="dxa"/>
            <w:shd w:val="clear" w:color="auto" w:fill="E0EDE7" w:themeFill="accent3" w:themeFillTint="33"/>
          </w:tcPr>
          <w:p w14:paraId="7F295811" w14:textId="77777777" w:rsidR="00B32C9A" w:rsidRPr="00412F9A" w:rsidRDefault="00B32C9A" w:rsidP="00BB4A74">
            <w:pPr>
              <w:spacing w:line="240" w:lineRule="auto"/>
              <w:jc w:val="center"/>
            </w:pPr>
            <w:r>
              <w:t>X</w:t>
            </w:r>
          </w:p>
        </w:tc>
        <w:tc>
          <w:tcPr>
            <w:tcW w:w="1358" w:type="dxa"/>
            <w:shd w:val="clear" w:color="auto" w:fill="E0EDE7" w:themeFill="accent3" w:themeFillTint="33"/>
          </w:tcPr>
          <w:p w14:paraId="70247BFC" w14:textId="77777777" w:rsidR="00B32C9A" w:rsidRPr="00412F9A" w:rsidRDefault="00B32C9A" w:rsidP="00BB4A74">
            <w:pPr>
              <w:spacing w:line="240" w:lineRule="auto"/>
            </w:pPr>
          </w:p>
        </w:tc>
      </w:tr>
      <w:tr w:rsidR="00B32C9A" w:rsidRPr="00412F9A" w14:paraId="610E5577" w14:textId="77777777" w:rsidTr="00BB4A74">
        <w:trPr>
          <w:trHeight w:val="397"/>
        </w:trPr>
        <w:tc>
          <w:tcPr>
            <w:tcW w:w="1061" w:type="dxa"/>
            <w:shd w:val="clear" w:color="auto" w:fill="E0EDE7" w:themeFill="accent3" w:themeFillTint="33"/>
          </w:tcPr>
          <w:p w14:paraId="42CFA63A" w14:textId="77777777" w:rsidR="00B32C9A" w:rsidRPr="00412F9A" w:rsidRDefault="00B32C9A" w:rsidP="00BB4A74">
            <w:pPr>
              <w:spacing w:before="120" w:line="240" w:lineRule="auto"/>
            </w:pPr>
            <w:r w:rsidRPr="00412F9A">
              <w:t>1.5.1</w:t>
            </w:r>
          </w:p>
        </w:tc>
        <w:tc>
          <w:tcPr>
            <w:tcW w:w="1106" w:type="dxa"/>
            <w:shd w:val="clear" w:color="auto" w:fill="E0EDE7" w:themeFill="accent3" w:themeFillTint="33"/>
          </w:tcPr>
          <w:p w14:paraId="3328CC8C" w14:textId="77777777" w:rsidR="00B32C9A" w:rsidRPr="00412F9A" w:rsidRDefault="00B32C9A" w:rsidP="00BB4A74">
            <w:pPr>
              <w:spacing w:line="240" w:lineRule="auto"/>
            </w:pPr>
          </w:p>
        </w:tc>
        <w:tc>
          <w:tcPr>
            <w:tcW w:w="688" w:type="dxa"/>
            <w:shd w:val="clear" w:color="auto" w:fill="E0EDE7" w:themeFill="accent3" w:themeFillTint="33"/>
          </w:tcPr>
          <w:p w14:paraId="3F3BE9A8"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787FA0DA" w14:textId="77777777" w:rsidR="00B32C9A" w:rsidRPr="00412F9A" w:rsidRDefault="00B32C9A" w:rsidP="00BB4A74">
            <w:pPr>
              <w:spacing w:line="240" w:lineRule="auto"/>
            </w:pPr>
          </w:p>
        </w:tc>
        <w:tc>
          <w:tcPr>
            <w:tcW w:w="349" w:type="dxa"/>
            <w:tcBorders>
              <w:top w:val="nil"/>
              <w:bottom w:val="nil"/>
            </w:tcBorders>
          </w:tcPr>
          <w:p w14:paraId="534ACEB2" w14:textId="77777777" w:rsidR="00B32C9A" w:rsidRPr="00412F9A" w:rsidRDefault="00B32C9A" w:rsidP="00BB4A74">
            <w:pPr>
              <w:spacing w:line="240" w:lineRule="auto"/>
            </w:pPr>
          </w:p>
        </w:tc>
        <w:tc>
          <w:tcPr>
            <w:tcW w:w="1278" w:type="dxa"/>
            <w:shd w:val="clear" w:color="auto" w:fill="E0EDE7" w:themeFill="accent3" w:themeFillTint="33"/>
          </w:tcPr>
          <w:p w14:paraId="77E8541C" w14:textId="77777777" w:rsidR="00B32C9A" w:rsidRPr="00412F9A" w:rsidRDefault="00B32C9A" w:rsidP="00BB4A74">
            <w:pPr>
              <w:spacing w:before="120" w:line="240" w:lineRule="auto"/>
            </w:pPr>
            <w:r w:rsidRPr="00412F9A">
              <w:t>2.5.1</w:t>
            </w:r>
          </w:p>
        </w:tc>
        <w:tc>
          <w:tcPr>
            <w:tcW w:w="1041" w:type="dxa"/>
            <w:shd w:val="clear" w:color="auto" w:fill="E0EDE7" w:themeFill="accent3" w:themeFillTint="33"/>
          </w:tcPr>
          <w:p w14:paraId="26EFA106" w14:textId="77777777" w:rsidR="00B32C9A" w:rsidRPr="00412F9A" w:rsidRDefault="00B32C9A" w:rsidP="00BB4A74">
            <w:pPr>
              <w:spacing w:line="240" w:lineRule="auto"/>
            </w:pPr>
          </w:p>
        </w:tc>
        <w:tc>
          <w:tcPr>
            <w:tcW w:w="717" w:type="dxa"/>
            <w:shd w:val="clear" w:color="auto" w:fill="E0EDE7" w:themeFill="accent3" w:themeFillTint="33"/>
          </w:tcPr>
          <w:p w14:paraId="5201178E" w14:textId="77777777" w:rsidR="00B32C9A" w:rsidRPr="00412F9A" w:rsidRDefault="00B32C9A" w:rsidP="00BB4A74">
            <w:pPr>
              <w:spacing w:line="240" w:lineRule="auto"/>
              <w:jc w:val="center"/>
            </w:pPr>
            <w:r>
              <w:t>X</w:t>
            </w:r>
          </w:p>
        </w:tc>
        <w:tc>
          <w:tcPr>
            <w:tcW w:w="1358" w:type="dxa"/>
            <w:shd w:val="clear" w:color="auto" w:fill="E0EDE7" w:themeFill="accent3" w:themeFillTint="33"/>
          </w:tcPr>
          <w:p w14:paraId="0EF17B28" w14:textId="77777777" w:rsidR="00B32C9A" w:rsidRPr="00412F9A" w:rsidRDefault="00B32C9A" w:rsidP="00BB4A74">
            <w:pPr>
              <w:spacing w:line="240" w:lineRule="auto"/>
            </w:pPr>
          </w:p>
        </w:tc>
      </w:tr>
      <w:tr w:rsidR="00B32C9A" w:rsidRPr="00412F9A" w14:paraId="159DD3E0" w14:textId="77777777" w:rsidTr="00BB4A74">
        <w:trPr>
          <w:trHeight w:val="397"/>
        </w:trPr>
        <w:tc>
          <w:tcPr>
            <w:tcW w:w="1061" w:type="dxa"/>
            <w:shd w:val="clear" w:color="auto" w:fill="E0EDE7" w:themeFill="accent3" w:themeFillTint="33"/>
          </w:tcPr>
          <w:p w14:paraId="7DF1AF50" w14:textId="77777777" w:rsidR="00B32C9A" w:rsidRPr="00412F9A" w:rsidRDefault="00B32C9A" w:rsidP="00BB4A74">
            <w:pPr>
              <w:spacing w:before="120" w:line="240" w:lineRule="auto"/>
            </w:pPr>
            <w:r w:rsidRPr="00412F9A">
              <w:t>1.6.1</w:t>
            </w:r>
          </w:p>
        </w:tc>
        <w:tc>
          <w:tcPr>
            <w:tcW w:w="1106" w:type="dxa"/>
            <w:shd w:val="clear" w:color="auto" w:fill="E0EDE7" w:themeFill="accent3" w:themeFillTint="33"/>
          </w:tcPr>
          <w:p w14:paraId="3BDF7E48" w14:textId="77777777" w:rsidR="00B32C9A" w:rsidRPr="00412F9A" w:rsidRDefault="00B32C9A" w:rsidP="00BB4A74">
            <w:pPr>
              <w:spacing w:line="240" w:lineRule="auto"/>
            </w:pPr>
          </w:p>
        </w:tc>
        <w:tc>
          <w:tcPr>
            <w:tcW w:w="688" w:type="dxa"/>
            <w:shd w:val="clear" w:color="auto" w:fill="E0EDE7" w:themeFill="accent3" w:themeFillTint="33"/>
          </w:tcPr>
          <w:p w14:paraId="07FC717E"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7A9AA05F" w14:textId="77777777" w:rsidR="00B32C9A" w:rsidRPr="00412F9A" w:rsidRDefault="00B32C9A" w:rsidP="00BB4A74">
            <w:pPr>
              <w:spacing w:line="240" w:lineRule="auto"/>
            </w:pPr>
          </w:p>
        </w:tc>
        <w:tc>
          <w:tcPr>
            <w:tcW w:w="349" w:type="dxa"/>
            <w:tcBorders>
              <w:top w:val="nil"/>
              <w:bottom w:val="nil"/>
            </w:tcBorders>
          </w:tcPr>
          <w:p w14:paraId="19076628" w14:textId="77777777" w:rsidR="00B32C9A" w:rsidRPr="00412F9A" w:rsidRDefault="00B32C9A" w:rsidP="00BB4A74">
            <w:pPr>
              <w:spacing w:line="240" w:lineRule="auto"/>
            </w:pPr>
          </w:p>
        </w:tc>
        <w:tc>
          <w:tcPr>
            <w:tcW w:w="1278" w:type="dxa"/>
            <w:shd w:val="clear" w:color="auto" w:fill="E0EDE7" w:themeFill="accent3" w:themeFillTint="33"/>
          </w:tcPr>
          <w:p w14:paraId="4BE6D9EF" w14:textId="77777777" w:rsidR="00B32C9A" w:rsidRPr="00412F9A" w:rsidRDefault="00B32C9A" w:rsidP="00BB4A74">
            <w:pPr>
              <w:spacing w:before="120" w:line="240" w:lineRule="auto"/>
            </w:pPr>
            <w:r w:rsidRPr="00412F9A">
              <w:t>2.5.2</w:t>
            </w:r>
          </w:p>
        </w:tc>
        <w:tc>
          <w:tcPr>
            <w:tcW w:w="1041" w:type="dxa"/>
            <w:shd w:val="clear" w:color="auto" w:fill="E0EDE7" w:themeFill="accent3" w:themeFillTint="33"/>
          </w:tcPr>
          <w:p w14:paraId="724371A6" w14:textId="77777777" w:rsidR="00B32C9A" w:rsidRPr="00412F9A" w:rsidRDefault="00B32C9A" w:rsidP="00BB4A74">
            <w:pPr>
              <w:spacing w:line="240" w:lineRule="auto"/>
            </w:pPr>
          </w:p>
        </w:tc>
        <w:tc>
          <w:tcPr>
            <w:tcW w:w="717" w:type="dxa"/>
            <w:shd w:val="clear" w:color="auto" w:fill="E0EDE7" w:themeFill="accent3" w:themeFillTint="33"/>
          </w:tcPr>
          <w:p w14:paraId="206BE69E" w14:textId="77777777" w:rsidR="00B32C9A" w:rsidRPr="00412F9A" w:rsidRDefault="00B32C9A" w:rsidP="00BB4A74">
            <w:pPr>
              <w:spacing w:line="240" w:lineRule="auto"/>
              <w:jc w:val="center"/>
            </w:pPr>
            <w:r>
              <w:t>X</w:t>
            </w:r>
          </w:p>
        </w:tc>
        <w:tc>
          <w:tcPr>
            <w:tcW w:w="1358" w:type="dxa"/>
            <w:shd w:val="clear" w:color="auto" w:fill="E0EDE7" w:themeFill="accent3" w:themeFillTint="33"/>
          </w:tcPr>
          <w:p w14:paraId="667AF1DF" w14:textId="77777777" w:rsidR="00B32C9A" w:rsidRPr="00412F9A" w:rsidRDefault="00B32C9A" w:rsidP="00BB4A74">
            <w:pPr>
              <w:spacing w:line="240" w:lineRule="auto"/>
            </w:pPr>
          </w:p>
        </w:tc>
      </w:tr>
      <w:tr w:rsidR="00B32C9A" w:rsidRPr="00412F9A" w14:paraId="1A6AAE6B" w14:textId="77777777" w:rsidTr="00BB4A74">
        <w:trPr>
          <w:trHeight w:val="397"/>
        </w:trPr>
        <w:tc>
          <w:tcPr>
            <w:tcW w:w="1061" w:type="dxa"/>
            <w:shd w:val="clear" w:color="auto" w:fill="E0EDE7" w:themeFill="accent3" w:themeFillTint="33"/>
          </w:tcPr>
          <w:p w14:paraId="62D60660" w14:textId="77777777" w:rsidR="00B32C9A" w:rsidRPr="00412F9A" w:rsidRDefault="00B32C9A" w:rsidP="00BB4A74">
            <w:pPr>
              <w:spacing w:before="120" w:line="240" w:lineRule="auto"/>
            </w:pPr>
            <w:r w:rsidRPr="00412F9A">
              <w:t>2.1.1</w:t>
            </w:r>
          </w:p>
        </w:tc>
        <w:tc>
          <w:tcPr>
            <w:tcW w:w="1106" w:type="dxa"/>
            <w:shd w:val="clear" w:color="auto" w:fill="E0EDE7" w:themeFill="accent3" w:themeFillTint="33"/>
          </w:tcPr>
          <w:p w14:paraId="47BF6E16" w14:textId="77777777" w:rsidR="00B32C9A" w:rsidRPr="00412F9A" w:rsidRDefault="00B32C9A" w:rsidP="00BB4A74">
            <w:pPr>
              <w:spacing w:line="240" w:lineRule="auto"/>
              <w:jc w:val="center"/>
            </w:pPr>
          </w:p>
        </w:tc>
        <w:tc>
          <w:tcPr>
            <w:tcW w:w="688" w:type="dxa"/>
            <w:shd w:val="clear" w:color="auto" w:fill="E0EDE7" w:themeFill="accent3" w:themeFillTint="33"/>
          </w:tcPr>
          <w:p w14:paraId="15EF1A56"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10D20EA4" w14:textId="77777777" w:rsidR="00B32C9A" w:rsidRPr="00412F9A" w:rsidRDefault="00B32C9A" w:rsidP="00BB4A74">
            <w:pPr>
              <w:spacing w:line="240" w:lineRule="auto"/>
            </w:pPr>
          </w:p>
        </w:tc>
        <w:tc>
          <w:tcPr>
            <w:tcW w:w="349" w:type="dxa"/>
            <w:tcBorders>
              <w:top w:val="nil"/>
              <w:bottom w:val="nil"/>
            </w:tcBorders>
          </w:tcPr>
          <w:p w14:paraId="6588624C" w14:textId="77777777" w:rsidR="00B32C9A" w:rsidRPr="00412F9A" w:rsidRDefault="00B32C9A" w:rsidP="00BB4A74">
            <w:pPr>
              <w:spacing w:line="240" w:lineRule="auto"/>
            </w:pPr>
          </w:p>
        </w:tc>
        <w:tc>
          <w:tcPr>
            <w:tcW w:w="1278" w:type="dxa"/>
            <w:shd w:val="clear" w:color="auto" w:fill="E0EDE7" w:themeFill="accent3" w:themeFillTint="33"/>
          </w:tcPr>
          <w:p w14:paraId="3C2FEAB5" w14:textId="77777777" w:rsidR="00B32C9A" w:rsidRPr="00412F9A" w:rsidRDefault="00B32C9A" w:rsidP="00BB4A74">
            <w:pPr>
              <w:spacing w:before="120" w:line="240" w:lineRule="auto"/>
            </w:pPr>
            <w:r w:rsidRPr="00412F9A">
              <w:t>2.6.1</w:t>
            </w:r>
          </w:p>
        </w:tc>
        <w:tc>
          <w:tcPr>
            <w:tcW w:w="1041" w:type="dxa"/>
            <w:shd w:val="clear" w:color="auto" w:fill="E0EDE7" w:themeFill="accent3" w:themeFillTint="33"/>
          </w:tcPr>
          <w:p w14:paraId="154BE737" w14:textId="77777777" w:rsidR="00B32C9A" w:rsidRPr="00412F9A" w:rsidRDefault="00B32C9A" w:rsidP="00BB4A74">
            <w:pPr>
              <w:spacing w:line="240" w:lineRule="auto"/>
            </w:pPr>
          </w:p>
        </w:tc>
        <w:tc>
          <w:tcPr>
            <w:tcW w:w="717" w:type="dxa"/>
            <w:shd w:val="clear" w:color="auto" w:fill="E0EDE7" w:themeFill="accent3" w:themeFillTint="33"/>
          </w:tcPr>
          <w:p w14:paraId="1BF1EB12" w14:textId="77777777" w:rsidR="00B32C9A" w:rsidRPr="00412F9A" w:rsidRDefault="00B32C9A" w:rsidP="00BB4A74">
            <w:pPr>
              <w:spacing w:line="240" w:lineRule="auto"/>
              <w:jc w:val="center"/>
            </w:pPr>
            <w:r>
              <w:t>X</w:t>
            </w:r>
          </w:p>
        </w:tc>
        <w:tc>
          <w:tcPr>
            <w:tcW w:w="1358" w:type="dxa"/>
            <w:shd w:val="clear" w:color="auto" w:fill="E0EDE7" w:themeFill="accent3" w:themeFillTint="33"/>
          </w:tcPr>
          <w:p w14:paraId="2AD3CCF5" w14:textId="77777777" w:rsidR="00B32C9A" w:rsidRPr="00412F9A" w:rsidRDefault="00B32C9A" w:rsidP="00BB4A74">
            <w:pPr>
              <w:spacing w:line="240" w:lineRule="auto"/>
            </w:pPr>
          </w:p>
        </w:tc>
      </w:tr>
      <w:tr w:rsidR="00B32C9A" w:rsidRPr="00412F9A" w14:paraId="2C1F1606" w14:textId="77777777" w:rsidTr="00BB4A74">
        <w:trPr>
          <w:trHeight w:val="397"/>
        </w:trPr>
        <w:tc>
          <w:tcPr>
            <w:tcW w:w="1061" w:type="dxa"/>
            <w:shd w:val="clear" w:color="auto" w:fill="E0EDE7" w:themeFill="accent3" w:themeFillTint="33"/>
          </w:tcPr>
          <w:p w14:paraId="09B2096E" w14:textId="77777777" w:rsidR="00B32C9A" w:rsidRPr="00412F9A" w:rsidRDefault="00B32C9A" w:rsidP="00BB4A74">
            <w:pPr>
              <w:spacing w:before="120" w:line="240" w:lineRule="auto"/>
            </w:pPr>
            <w:r w:rsidRPr="00412F9A">
              <w:t>2.1.2</w:t>
            </w:r>
          </w:p>
        </w:tc>
        <w:tc>
          <w:tcPr>
            <w:tcW w:w="1106" w:type="dxa"/>
            <w:shd w:val="clear" w:color="auto" w:fill="E0EDE7" w:themeFill="accent3" w:themeFillTint="33"/>
          </w:tcPr>
          <w:p w14:paraId="0E206A2D" w14:textId="77777777" w:rsidR="00B32C9A" w:rsidRPr="00412F9A" w:rsidRDefault="00B32C9A" w:rsidP="00BB4A74">
            <w:pPr>
              <w:spacing w:line="240" w:lineRule="auto"/>
              <w:jc w:val="center"/>
            </w:pPr>
            <w:r>
              <w:t>X</w:t>
            </w:r>
          </w:p>
        </w:tc>
        <w:tc>
          <w:tcPr>
            <w:tcW w:w="688" w:type="dxa"/>
            <w:shd w:val="clear" w:color="auto" w:fill="E0EDE7" w:themeFill="accent3" w:themeFillTint="33"/>
          </w:tcPr>
          <w:p w14:paraId="0C95F015" w14:textId="77777777" w:rsidR="00B32C9A" w:rsidRPr="00412F9A" w:rsidRDefault="00B32C9A" w:rsidP="00BB4A74">
            <w:pPr>
              <w:spacing w:line="240" w:lineRule="auto"/>
              <w:jc w:val="center"/>
            </w:pPr>
          </w:p>
        </w:tc>
        <w:tc>
          <w:tcPr>
            <w:tcW w:w="1350" w:type="dxa"/>
            <w:shd w:val="clear" w:color="auto" w:fill="E0EDE7" w:themeFill="accent3" w:themeFillTint="33"/>
          </w:tcPr>
          <w:p w14:paraId="6F27FDCA" w14:textId="77777777" w:rsidR="00B32C9A" w:rsidRPr="00412F9A" w:rsidRDefault="00B32C9A" w:rsidP="00BB4A74">
            <w:pPr>
              <w:spacing w:line="240" w:lineRule="auto"/>
            </w:pPr>
          </w:p>
        </w:tc>
        <w:tc>
          <w:tcPr>
            <w:tcW w:w="349" w:type="dxa"/>
            <w:tcBorders>
              <w:top w:val="nil"/>
              <w:bottom w:val="nil"/>
            </w:tcBorders>
          </w:tcPr>
          <w:p w14:paraId="6C401602" w14:textId="77777777" w:rsidR="00B32C9A" w:rsidRPr="00412F9A" w:rsidRDefault="00B32C9A" w:rsidP="00BB4A74">
            <w:pPr>
              <w:spacing w:line="240" w:lineRule="auto"/>
            </w:pPr>
          </w:p>
        </w:tc>
        <w:tc>
          <w:tcPr>
            <w:tcW w:w="1278" w:type="dxa"/>
            <w:shd w:val="clear" w:color="auto" w:fill="E0EDE7" w:themeFill="accent3" w:themeFillTint="33"/>
          </w:tcPr>
          <w:p w14:paraId="71992CA8" w14:textId="77777777" w:rsidR="00B32C9A" w:rsidRPr="00412F9A" w:rsidRDefault="00B32C9A" w:rsidP="00BB4A74">
            <w:pPr>
              <w:spacing w:before="120" w:line="240" w:lineRule="auto"/>
            </w:pPr>
            <w:r w:rsidRPr="00412F9A">
              <w:t>2.7.1</w:t>
            </w:r>
          </w:p>
        </w:tc>
        <w:tc>
          <w:tcPr>
            <w:tcW w:w="1041" w:type="dxa"/>
            <w:shd w:val="clear" w:color="auto" w:fill="E0EDE7" w:themeFill="accent3" w:themeFillTint="33"/>
          </w:tcPr>
          <w:p w14:paraId="1C531275" w14:textId="77777777" w:rsidR="00B32C9A" w:rsidRPr="00412F9A" w:rsidRDefault="00B32C9A" w:rsidP="00BB4A74">
            <w:pPr>
              <w:spacing w:line="240" w:lineRule="auto"/>
            </w:pPr>
          </w:p>
        </w:tc>
        <w:tc>
          <w:tcPr>
            <w:tcW w:w="717" w:type="dxa"/>
            <w:shd w:val="clear" w:color="auto" w:fill="E0EDE7" w:themeFill="accent3" w:themeFillTint="33"/>
          </w:tcPr>
          <w:p w14:paraId="39F7DBDC" w14:textId="77777777" w:rsidR="00B32C9A" w:rsidRPr="00412F9A" w:rsidRDefault="00B32C9A" w:rsidP="00BB4A74">
            <w:pPr>
              <w:spacing w:line="240" w:lineRule="auto"/>
              <w:jc w:val="center"/>
            </w:pPr>
            <w:r>
              <w:t>X</w:t>
            </w:r>
          </w:p>
        </w:tc>
        <w:tc>
          <w:tcPr>
            <w:tcW w:w="1358" w:type="dxa"/>
            <w:shd w:val="clear" w:color="auto" w:fill="E0EDE7" w:themeFill="accent3" w:themeFillTint="33"/>
          </w:tcPr>
          <w:p w14:paraId="74BA5A17" w14:textId="77777777" w:rsidR="00B32C9A" w:rsidRPr="00412F9A" w:rsidRDefault="00B32C9A" w:rsidP="00BB4A74">
            <w:pPr>
              <w:spacing w:line="240" w:lineRule="auto"/>
            </w:pPr>
          </w:p>
        </w:tc>
      </w:tr>
      <w:tr w:rsidR="00B32C9A" w:rsidRPr="00412F9A" w14:paraId="6A4DCEAA" w14:textId="77777777" w:rsidTr="00BB4A74">
        <w:trPr>
          <w:trHeight w:val="397"/>
        </w:trPr>
        <w:tc>
          <w:tcPr>
            <w:tcW w:w="1061" w:type="dxa"/>
            <w:shd w:val="clear" w:color="auto" w:fill="E0EDE7" w:themeFill="accent3" w:themeFillTint="33"/>
          </w:tcPr>
          <w:p w14:paraId="3F9CACC9" w14:textId="77777777" w:rsidR="00B32C9A" w:rsidRPr="00412F9A" w:rsidRDefault="00B32C9A" w:rsidP="00BB4A74">
            <w:pPr>
              <w:spacing w:before="120" w:line="240" w:lineRule="auto"/>
            </w:pPr>
            <w:r w:rsidRPr="00412F9A">
              <w:t>2.1.3</w:t>
            </w:r>
          </w:p>
        </w:tc>
        <w:tc>
          <w:tcPr>
            <w:tcW w:w="1106" w:type="dxa"/>
            <w:shd w:val="clear" w:color="auto" w:fill="E0EDE7" w:themeFill="accent3" w:themeFillTint="33"/>
          </w:tcPr>
          <w:p w14:paraId="789D753B" w14:textId="77777777" w:rsidR="00B32C9A" w:rsidRPr="00412F9A" w:rsidRDefault="00B32C9A" w:rsidP="00BB4A74">
            <w:pPr>
              <w:spacing w:line="240" w:lineRule="auto"/>
            </w:pPr>
          </w:p>
        </w:tc>
        <w:tc>
          <w:tcPr>
            <w:tcW w:w="688" w:type="dxa"/>
            <w:shd w:val="clear" w:color="auto" w:fill="E0EDE7" w:themeFill="accent3" w:themeFillTint="33"/>
          </w:tcPr>
          <w:p w14:paraId="4BA74CF2"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6C3FCB22" w14:textId="77777777" w:rsidR="00B32C9A" w:rsidRPr="00412F9A" w:rsidRDefault="00B32C9A" w:rsidP="00BB4A74">
            <w:pPr>
              <w:spacing w:line="240" w:lineRule="auto"/>
            </w:pPr>
          </w:p>
        </w:tc>
        <w:tc>
          <w:tcPr>
            <w:tcW w:w="349" w:type="dxa"/>
            <w:tcBorders>
              <w:top w:val="nil"/>
              <w:bottom w:val="nil"/>
            </w:tcBorders>
          </w:tcPr>
          <w:p w14:paraId="6660D4C8" w14:textId="77777777" w:rsidR="00B32C9A" w:rsidRPr="00412F9A" w:rsidRDefault="00B32C9A" w:rsidP="00BB4A74">
            <w:pPr>
              <w:spacing w:line="240" w:lineRule="auto"/>
            </w:pPr>
          </w:p>
        </w:tc>
        <w:tc>
          <w:tcPr>
            <w:tcW w:w="1278" w:type="dxa"/>
            <w:shd w:val="clear" w:color="auto" w:fill="E0EDE7" w:themeFill="accent3" w:themeFillTint="33"/>
          </w:tcPr>
          <w:p w14:paraId="2BCFD932" w14:textId="77777777" w:rsidR="00B32C9A" w:rsidRPr="00412F9A" w:rsidRDefault="00B32C9A" w:rsidP="00BB4A74">
            <w:pPr>
              <w:spacing w:before="120" w:line="240" w:lineRule="auto"/>
            </w:pPr>
            <w:r w:rsidRPr="00412F9A">
              <w:t>2.7.2</w:t>
            </w:r>
          </w:p>
        </w:tc>
        <w:tc>
          <w:tcPr>
            <w:tcW w:w="1041" w:type="dxa"/>
            <w:shd w:val="clear" w:color="auto" w:fill="E0EDE7" w:themeFill="accent3" w:themeFillTint="33"/>
          </w:tcPr>
          <w:p w14:paraId="5FCC1327" w14:textId="77777777" w:rsidR="00B32C9A" w:rsidRPr="00412F9A" w:rsidRDefault="00B32C9A" w:rsidP="00BB4A74">
            <w:pPr>
              <w:spacing w:line="240" w:lineRule="auto"/>
            </w:pPr>
          </w:p>
        </w:tc>
        <w:tc>
          <w:tcPr>
            <w:tcW w:w="717" w:type="dxa"/>
            <w:shd w:val="clear" w:color="auto" w:fill="E0EDE7" w:themeFill="accent3" w:themeFillTint="33"/>
          </w:tcPr>
          <w:p w14:paraId="33079DA7" w14:textId="77777777" w:rsidR="00B32C9A" w:rsidRPr="00412F9A" w:rsidRDefault="00B32C9A" w:rsidP="00BB4A74">
            <w:pPr>
              <w:spacing w:line="240" w:lineRule="auto"/>
              <w:jc w:val="center"/>
            </w:pPr>
            <w:r>
              <w:t>X</w:t>
            </w:r>
          </w:p>
        </w:tc>
        <w:tc>
          <w:tcPr>
            <w:tcW w:w="1358" w:type="dxa"/>
            <w:shd w:val="clear" w:color="auto" w:fill="E0EDE7" w:themeFill="accent3" w:themeFillTint="33"/>
          </w:tcPr>
          <w:p w14:paraId="4637EB61" w14:textId="77777777" w:rsidR="00B32C9A" w:rsidRPr="00412F9A" w:rsidRDefault="00B32C9A" w:rsidP="00BB4A74">
            <w:pPr>
              <w:spacing w:line="240" w:lineRule="auto"/>
            </w:pPr>
          </w:p>
        </w:tc>
      </w:tr>
      <w:tr w:rsidR="00B32C9A" w:rsidRPr="00412F9A" w14:paraId="07534A13" w14:textId="77777777" w:rsidTr="00BB4A74">
        <w:trPr>
          <w:trHeight w:val="397"/>
        </w:trPr>
        <w:tc>
          <w:tcPr>
            <w:tcW w:w="1061" w:type="dxa"/>
            <w:shd w:val="clear" w:color="auto" w:fill="E0EDE7" w:themeFill="accent3" w:themeFillTint="33"/>
          </w:tcPr>
          <w:p w14:paraId="45FE3536" w14:textId="77777777" w:rsidR="00B32C9A" w:rsidRPr="00412F9A" w:rsidRDefault="00B32C9A" w:rsidP="00BB4A74">
            <w:pPr>
              <w:spacing w:before="120" w:line="240" w:lineRule="auto"/>
            </w:pPr>
            <w:r w:rsidRPr="00412F9A">
              <w:t>2.2.1</w:t>
            </w:r>
          </w:p>
        </w:tc>
        <w:tc>
          <w:tcPr>
            <w:tcW w:w="1106" w:type="dxa"/>
            <w:shd w:val="clear" w:color="auto" w:fill="E0EDE7" w:themeFill="accent3" w:themeFillTint="33"/>
          </w:tcPr>
          <w:p w14:paraId="444C3035" w14:textId="77777777" w:rsidR="00B32C9A" w:rsidRPr="00412F9A" w:rsidRDefault="00B32C9A" w:rsidP="00BB4A74">
            <w:pPr>
              <w:spacing w:line="240" w:lineRule="auto"/>
            </w:pPr>
          </w:p>
        </w:tc>
        <w:tc>
          <w:tcPr>
            <w:tcW w:w="688" w:type="dxa"/>
            <w:shd w:val="clear" w:color="auto" w:fill="E0EDE7" w:themeFill="accent3" w:themeFillTint="33"/>
          </w:tcPr>
          <w:p w14:paraId="39E2480E"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38F32305" w14:textId="77777777" w:rsidR="00B32C9A" w:rsidRPr="00412F9A" w:rsidRDefault="00B32C9A" w:rsidP="00BB4A74">
            <w:pPr>
              <w:spacing w:line="240" w:lineRule="auto"/>
            </w:pPr>
          </w:p>
        </w:tc>
        <w:tc>
          <w:tcPr>
            <w:tcW w:w="349" w:type="dxa"/>
            <w:tcBorders>
              <w:top w:val="nil"/>
              <w:bottom w:val="nil"/>
            </w:tcBorders>
          </w:tcPr>
          <w:p w14:paraId="629339CD" w14:textId="77777777" w:rsidR="00B32C9A" w:rsidRPr="00412F9A" w:rsidRDefault="00B32C9A" w:rsidP="00BB4A74">
            <w:pPr>
              <w:spacing w:line="240" w:lineRule="auto"/>
            </w:pPr>
          </w:p>
        </w:tc>
        <w:tc>
          <w:tcPr>
            <w:tcW w:w="1278" w:type="dxa"/>
            <w:shd w:val="clear" w:color="auto" w:fill="E0EDE7" w:themeFill="accent3" w:themeFillTint="33"/>
          </w:tcPr>
          <w:p w14:paraId="451D5626" w14:textId="77777777" w:rsidR="00B32C9A" w:rsidRPr="00412F9A" w:rsidRDefault="00B32C9A" w:rsidP="00BB4A74">
            <w:pPr>
              <w:spacing w:before="120" w:line="240" w:lineRule="auto"/>
            </w:pPr>
            <w:r w:rsidRPr="00412F9A">
              <w:t>2.7.3</w:t>
            </w:r>
          </w:p>
        </w:tc>
        <w:tc>
          <w:tcPr>
            <w:tcW w:w="1041" w:type="dxa"/>
            <w:shd w:val="clear" w:color="auto" w:fill="E0EDE7" w:themeFill="accent3" w:themeFillTint="33"/>
          </w:tcPr>
          <w:p w14:paraId="117EC022" w14:textId="77777777" w:rsidR="00B32C9A" w:rsidRPr="00412F9A" w:rsidRDefault="00B32C9A" w:rsidP="00BB4A74">
            <w:pPr>
              <w:spacing w:line="240" w:lineRule="auto"/>
            </w:pPr>
          </w:p>
        </w:tc>
        <w:tc>
          <w:tcPr>
            <w:tcW w:w="717" w:type="dxa"/>
            <w:shd w:val="clear" w:color="auto" w:fill="E0EDE7" w:themeFill="accent3" w:themeFillTint="33"/>
          </w:tcPr>
          <w:p w14:paraId="469D810A" w14:textId="77777777" w:rsidR="00B32C9A" w:rsidRPr="00412F9A" w:rsidRDefault="00B32C9A" w:rsidP="00BB4A74">
            <w:pPr>
              <w:spacing w:line="240" w:lineRule="auto"/>
              <w:jc w:val="center"/>
            </w:pPr>
            <w:r>
              <w:t>X</w:t>
            </w:r>
          </w:p>
        </w:tc>
        <w:tc>
          <w:tcPr>
            <w:tcW w:w="1358" w:type="dxa"/>
            <w:shd w:val="clear" w:color="auto" w:fill="E0EDE7" w:themeFill="accent3" w:themeFillTint="33"/>
          </w:tcPr>
          <w:p w14:paraId="236C2850" w14:textId="77777777" w:rsidR="00B32C9A" w:rsidRPr="00412F9A" w:rsidRDefault="00B32C9A" w:rsidP="00BB4A74">
            <w:pPr>
              <w:spacing w:line="240" w:lineRule="auto"/>
            </w:pPr>
          </w:p>
        </w:tc>
      </w:tr>
      <w:tr w:rsidR="00B32C9A" w:rsidRPr="00412F9A" w14:paraId="694FD4E0" w14:textId="77777777" w:rsidTr="00BB4A74">
        <w:trPr>
          <w:trHeight w:val="397"/>
        </w:trPr>
        <w:tc>
          <w:tcPr>
            <w:tcW w:w="1061" w:type="dxa"/>
            <w:shd w:val="clear" w:color="auto" w:fill="E0EDE7" w:themeFill="accent3" w:themeFillTint="33"/>
          </w:tcPr>
          <w:p w14:paraId="214D798B" w14:textId="77777777" w:rsidR="00B32C9A" w:rsidRPr="00412F9A" w:rsidRDefault="00B32C9A" w:rsidP="00BB4A74">
            <w:pPr>
              <w:spacing w:before="120" w:line="240" w:lineRule="auto"/>
            </w:pPr>
            <w:r w:rsidRPr="00412F9A">
              <w:t>2.2.2</w:t>
            </w:r>
          </w:p>
        </w:tc>
        <w:tc>
          <w:tcPr>
            <w:tcW w:w="1106" w:type="dxa"/>
            <w:shd w:val="clear" w:color="auto" w:fill="E0EDE7" w:themeFill="accent3" w:themeFillTint="33"/>
          </w:tcPr>
          <w:p w14:paraId="343C9DA4" w14:textId="77777777" w:rsidR="00B32C9A" w:rsidRPr="00412F9A" w:rsidRDefault="00B32C9A" w:rsidP="00BB4A74">
            <w:pPr>
              <w:spacing w:line="240" w:lineRule="auto"/>
            </w:pPr>
          </w:p>
        </w:tc>
        <w:tc>
          <w:tcPr>
            <w:tcW w:w="688" w:type="dxa"/>
            <w:shd w:val="clear" w:color="auto" w:fill="E0EDE7" w:themeFill="accent3" w:themeFillTint="33"/>
          </w:tcPr>
          <w:p w14:paraId="147875BF"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6C49D9B4" w14:textId="77777777" w:rsidR="00B32C9A" w:rsidRPr="00412F9A" w:rsidRDefault="00B32C9A" w:rsidP="00BB4A74">
            <w:pPr>
              <w:spacing w:line="240" w:lineRule="auto"/>
            </w:pPr>
          </w:p>
        </w:tc>
        <w:tc>
          <w:tcPr>
            <w:tcW w:w="349" w:type="dxa"/>
            <w:tcBorders>
              <w:top w:val="nil"/>
              <w:bottom w:val="nil"/>
            </w:tcBorders>
          </w:tcPr>
          <w:p w14:paraId="6831CCDE" w14:textId="77777777" w:rsidR="00B32C9A" w:rsidRPr="00412F9A" w:rsidRDefault="00B32C9A" w:rsidP="00BB4A74">
            <w:pPr>
              <w:spacing w:line="240" w:lineRule="auto"/>
            </w:pPr>
          </w:p>
        </w:tc>
        <w:tc>
          <w:tcPr>
            <w:tcW w:w="1278" w:type="dxa"/>
            <w:shd w:val="clear" w:color="auto" w:fill="E0EDE7" w:themeFill="accent3" w:themeFillTint="33"/>
          </w:tcPr>
          <w:p w14:paraId="598D51DD" w14:textId="77777777" w:rsidR="00B32C9A" w:rsidRPr="00412F9A" w:rsidRDefault="00B32C9A" w:rsidP="00BB4A74">
            <w:pPr>
              <w:spacing w:before="120" w:line="240" w:lineRule="auto"/>
            </w:pPr>
            <w:r w:rsidRPr="00412F9A">
              <w:t>2.7.4</w:t>
            </w:r>
          </w:p>
        </w:tc>
        <w:tc>
          <w:tcPr>
            <w:tcW w:w="1041" w:type="dxa"/>
            <w:shd w:val="clear" w:color="auto" w:fill="E0EDE7" w:themeFill="accent3" w:themeFillTint="33"/>
          </w:tcPr>
          <w:p w14:paraId="1D8A76BC" w14:textId="77777777" w:rsidR="00B32C9A" w:rsidRPr="00412F9A" w:rsidRDefault="00B32C9A" w:rsidP="00BB4A74">
            <w:pPr>
              <w:spacing w:line="240" w:lineRule="auto"/>
            </w:pPr>
          </w:p>
        </w:tc>
        <w:tc>
          <w:tcPr>
            <w:tcW w:w="717" w:type="dxa"/>
            <w:shd w:val="clear" w:color="auto" w:fill="E0EDE7" w:themeFill="accent3" w:themeFillTint="33"/>
          </w:tcPr>
          <w:p w14:paraId="63F9CFE7" w14:textId="77777777" w:rsidR="00B32C9A" w:rsidRPr="00412F9A" w:rsidRDefault="00B32C9A" w:rsidP="00BB4A74">
            <w:pPr>
              <w:spacing w:line="240" w:lineRule="auto"/>
              <w:jc w:val="center"/>
            </w:pPr>
            <w:r>
              <w:t>X</w:t>
            </w:r>
          </w:p>
        </w:tc>
        <w:tc>
          <w:tcPr>
            <w:tcW w:w="1358" w:type="dxa"/>
            <w:shd w:val="clear" w:color="auto" w:fill="E0EDE7" w:themeFill="accent3" w:themeFillTint="33"/>
          </w:tcPr>
          <w:p w14:paraId="01A9C74F" w14:textId="77777777" w:rsidR="00B32C9A" w:rsidRPr="00412F9A" w:rsidRDefault="00B32C9A" w:rsidP="00BB4A74">
            <w:pPr>
              <w:spacing w:line="240" w:lineRule="auto"/>
            </w:pPr>
          </w:p>
        </w:tc>
      </w:tr>
      <w:tr w:rsidR="00B32C9A" w:rsidRPr="00412F9A" w14:paraId="69590F7C" w14:textId="77777777" w:rsidTr="00BB4A74">
        <w:trPr>
          <w:trHeight w:val="397"/>
        </w:trPr>
        <w:tc>
          <w:tcPr>
            <w:tcW w:w="1061" w:type="dxa"/>
            <w:shd w:val="clear" w:color="auto" w:fill="E0EDE7" w:themeFill="accent3" w:themeFillTint="33"/>
          </w:tcPr>
          <w:p w14:paraId="36A6718A" w14:textId="77777777" w:rsidR="00B32C9A" w:rsidRPr="00412F9A" w:rsidRDefault="00B32C9A" w:rsidP="00BB4A74">
            <w:pPr>
              <w:spacing w:before="120" w:line="240" w:lineRule="auto"/>
            </w:pPr>
            <w:r w:rsidRPr="00412F9A">
              <w:t>2.2.3</w:t>
            </w:r>
          </w:p>
        </w:tc>
        <w:tc>
          <w:tcPr>
            <w:tcW w:w="1106" w:type="dxa"/>
            <w:shd w:val="clear" w:color="auto" w:fill="E0EDE7" w:themeFill="accent3" w:themeFillTint="33"/>
          </w:tcPr>
          <w:p w14:paraId="2A5E8A1C" w14:textId="77777777" w:rsidR="00B32C9A" w:rsidRPr="00412F9A" w:rsidRDefault="00B32C9A" w:rsidP="00BB4A74">
            <w:pPr>
              <w:spacing w:line="240" w:lineRule="auto"/>
            </w:pPr>
          </w:p>
        </w:tc>
        <w:tc>
          <w:tcPr>
            <w:tcW w:w="688" w:type="dxa"/>
            <w:shd w:val="clear" w:color="auto" w:fill="E0EDE7" w:themeFill="accent3" w:themeFillTint="33"/>
          </w:tcPr>
          <w:p w14:paraId="07E518E3"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7AF85F3A" w14:textId="77777777" w:rsidR="00B32C9A" w:rsidRPr="00412F9A" w:rsidRDefault="00B32C9A" w:rsidP="00BB4A74">
            <w:pPr>
              <w:spacing w:line="240" w:lineRule="auto"/>
            </w:pPr>
          </w:p>
        </w:tc>
        <w:tc>
          <w:tcPr>
            <w:tcW w:w="349" w:type="dxa"/>
            <w:tcBorders>
              <w:top w:val="nil"/>
              <w:bottom w:val="nil"/>
            </w:tcBorders>
          </w:tcPr>
          <w:p w14:paraId="256A3F10" w14:textId="77777777" w:rsidR="00B32C9A" w:rsidRPr="00412F9A" w:rsidRDefault="00B32C9A" w:rsidP="00BB4A74">
            <w:pPr>
              <w:spacing w:line="240" w:lineRule="auto"/>
            </w:pPr>
          </w:p>
        </w:tc>
        <w:tc>
          <w:tcPr>
            <w:tcW w:w="1278" w:type="dxa"/>
            <w:shd w:val="clear" w:color="auto" w:fill="E0EDE7" w:themeFill="accent3" w:themeFillTint="33"/>
          </w:tcPr>
          <w:p w14:paraId="7802208D" w14:textId="77777777" w:rsidR="00B32C9A" w:rsidRPr="00412F9A" w:rsidRDefault="00B32C9A" w:rsidP="00BB4A74">
            <w:pPr>
              <w:spacing w:before="120" w:line="240" w:lineRule="auto"/>
            </w:pPr>
            <w:r w:rsidRPr="00412F9A">
              <w:t>2.7.5</w:t>
            </w:r>
          </w:p>
        </w:tc>
        <w:tc>
          <w:tcPr>
            <w:tcW w:w="1041" w:type="dxa"/>
            <w:shd w:val="clear" w:color="auto" w:fill="E0EDE7" w:themeFill="accent3" w:themeFillTint="33"/>
          </w:tcPr>
          <w:p w14:paraId="04A7B5F7" w14:textId="77777777" w:rsidR="00B32C9A" w:rsidRPr="00412F9A" w:rsidRDefault="00B32C9A" w:rsidP="00BB4A74">
            <w:pPr>
              <w:spacing w:line="240" w:lineRule="auto"/>
            </w:pPr>
          </w:p>
        </w:tc>
        <w:tc>
          <w:tcPr>
            <w:tcW w:w="717" w:type="dxa"/>
            <w:shd w:val="clear" w:color="auto" w:fill="E0EDE7" w:themeFill="accent3" w:themeFillTint="33"/>
          </w:tcPr>
          <w:p w14:paraId="30FC7835" w14:textId="77777777" w:rsidR="00B32C9A" w:rsidRPr="00412F9A" w:rsidRDefault="00B32C9A" w:rsidP="00BB4A74">
            <w:pPr>
              <w:spacing w:line="240" w:lineRule="auto"/>
              <w:jc w:val="center"/>
            </w:pPr>
            <w:r>
              <w:t>X</w:t>
            </w:r>
          </w:p>
        </w:tc>
        <w:tc>
          <w:tcPr>
            <w:tcW w:w="1358" w:type="dxa"/>
            <w:shd w:val="clear" w:color="auto" w:fill="E0EDE7" w:themeFill="accent3" w:themeFillTint="33"/>
          </w:tcPr>
          <w:p w14:paraId="609C5AED" w14:textId="77777777" w:rsidR="00B32C9A" w:rsidRPr="00412F9A" w:rsidRDefault="00B32C9A" w:rsidP="00BB4A74">
            <w:pPr>
              <w:spacing w:line="240" w:lineRule="auto"/>
            </w:pPr>
          </w:p>
        </w:tc>
      </w:tr>
      <w:tr w:rsidR="00B32C9A" w:rsidRPr="00412F9A" w14:paraId="14246206" w14:textId="77777777" w:rsidTr="00BB4A74">
        <w:trPr>
          <w:trHeight w:val="397"/>
        </w:trPr>
        <w:tc>
          <w:tcPr>
            <w:tcW w:w="1061" w:type="dxa"/>
            <w:shd w:val="clear" w:color="auto" w:fill="E0EDE7" w:themeFill="accent3" w:themeFillTint="33"/>
          </w:tcPr>
          <w:p w14:paraId="18B3FCA3" w14:textId="77777777" w:rsidR="00B32C9A" w:rsidRPr="00412F9A" w:rsidRDefault="00B32C9A" w:rsidP="00BB4A74">
            <w:pPr>
              <w:spacing w:before="120" w:line="240" w:lineRule="auto"/>
            </w:pPr>
            <w:r w:rsidRPr="00412F9A">
              <w:t>2.2.4</w:t>
            </w:r>
          </w:p>
        </w:tc>
        <w:tc>
          <w:tcPr>
            <w:tcW w:w="1106" w:type="dxa"/>
            <w:shd w:val="clear" w:color="auto" w:fill="E0EDE7" w:themeFill="accent3" w:themeFillTint="33"/>
          </w:tcPr>
          <w:p w14:paraId="4BEFC4F8" w14:textId="77777777" w:rsidR="00B32C9A" w:rsidRPr="00412F9A" w:rsidRDefault="00B32C9A" w:rsidP="00BB4A74">
            <w:pPr>
              <w:spacing w:line="240" w:lineRule="auto"/>
            </w:pPr>
          </w:p>
        </w:tc>
        <w:tc>
          <w:tcPr>
            <w:tcW w:w="688" w:type="dxa"/>
            <w:shd w:val="clear" w:color="auto" w:fill="E0EDE7" w:themeFill="accent3" w:themeFillTint="33"/>
          </w:tcPr>
          <w:p w14:paraId="48642A12"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45AED56C" w14:textId="77777777" w:rsidR="00B32C9A" w:rsidRPr="00412F9A" w:rsidRDefault="00B32C9A" w:rsidP="00BB4A74">
            <w:pPr>
              <w:spacing w:line="240" w:lineRule="auto"/>
            </w:pPr>
          </w:p>
        </w:tc>
        <w:tc>
          <w:tcPr>
            <w:tcW w:w="349" w:type="dxa"/>
            <w:tcBorders>
              <w:top w:val="nil"/>
              <w:bottom w:val="nil"/>
            </w:tcBorders>
          </w:tcPr>
          <w:p w14:paraId="5F3E64C0" w14:textId="77777777" w:rsidR="00B32C9A" w:rsidRPr="00412F9A" w:rsidRDefault="00B32C9A" w:rsidP="00BB4A74">
            <w:pPr>
              <w:spacing w:line="240" w:lineRule="auto"/>
            </w:pPr>
          </w:p>
        </w:tc>
        <w:tc>
          <w:tcPr>
            <w:tcW w:w="1278" w:type="dxa"/>
            <w:tcBorders>
              <w:bottom w:val="single" w:sz="4" w:space="0" w:color="auto"/>
            </w:tcBorders>
            <w:shd w:val="clear" w:color="auto" w:fill="E0EDE7" w:themeFill="accent3" w:themeFillTint="33"/>
          </w:tcPr>
          <w:p w14:paraId="77AC15C1" w14:textId="77777777" w:rsidR="00B32C9A" w:rsidRPr="00412F9A" w:rsidRDefault="00B32C9A" w:rsidP="00BB4A74">
            <w:pPr>
              <w:spacing w:before="120" w:line="240" w:lineRule="auto"/>
            </w:pPr>
            <w:r w:rsidRPr="00412F9A">
              <w:t>2.8.1</w:t>
            </w:r>
          </w:p>
        </w:tc>
        <w:tc>
          <w:tcPr>
            <w:tcW w:w="1041" w:type="dxa"/>
            <w:tcBorders>
              <w:bottom w:val="single" w:sz="4" w:space="0" w:color="auto"/>
            </w:tcBorders>
            <w:shd w:val="clear" w:color="auto" w:fill="E0EDE7" w:themeFill="accent3" w:themeFillTint="33"/>
          </w:tcPr>
          <w:p w14:paraId="1FCB7E8F" w14:textId="77777777" w:rsidR="00B32C9A" w:rsidRPr="00412F9A" w:rsidRDefault="00B32C9A" w:rsidP="00BB4A74">
            <w:pPr>
              <w:spacing w:line="240" w:lineRule="auto"/>
              <w:jc w:val="center"/>
            </w:pPr>
          </w:p>
        </w:tc>
        <w:tc>
          <w:tcPr>
            <w:tcW w:w="717" w:type="dxa"/>
            <w:tcBorders>
              <w:bottom w:val="single" w:sz="4" w:space="0" w:color="auto"/>
            </w:tcBorders>
            <w:shd w:val="clear" w:color="auto" w:fill="E0EDE7" w:themeFill="accent3" w:themeFillTint="33"/>
          </w:tcPr>
          <w:p w14:paraId="5CC2E7B9" w14:textId="77777777" w:rsidR="00B32C9A" w:rsidRPr="00412F9A" w:rsidRDefault="00B32C9A" w:rsidP="00BB4A74">
            <w:pPr>
              <w:spacing w:line="240" w:lineRule="auto"/>
              <w:jc w:val="center"/>
            </w:pPr>
            <w:r>
              <w:t>X</w:t>
            </w:r>
          </w:p>
        </w:tc>
        <w:tc>
          <w:tcPr>
            <w:tcW w:w="1358" w:type="dxa"/>
            <w:tcBorders>
              <w:bottom w:val="single" w:sz="4" w:space="0" w:color="auto"/>
            </w:tcBorders>
            <w:shd w:val="clear" w:color="auto" w:fill="E0EDE7" w:themeFill="accent3" w:themeFillTint="33"/>
          </w:tcPr>
          <w:p w14:paraId="3C4091C1" w14:textId="77777777" w:rsidR="00B32C9A" w:rsidRPr="00412F9A" w:rsidRDefault="00B32C9A" w:rsidP="00BB4A74">
            <w:pPr>
              <w:spacing w:line="240" w:lineRule="auto"/>
            </w:pPr>
          </w:p>
        </w:tc>
      </w:tr>
      <w:tr w:rsidR="00B32C9A" w:rsidRPr="00412F9A" w14:paraId="12AB7C2D" w14:textId="77777777" w:rsidTr="00BB4A74">
        <w:trPr>
          <w:trHeight w:val="397"/>
        </w:trPr>
        <w:tc>
          <w:tcPr>
            <w:tcW w:w="1061" w:type="dxa"/>
            <w:shd w:val="clear" w:color="auto" w:fill="E0EDE7" w:themeFill="accent3" w:themeFillTint="33"/>
          </w:tcPr>
          <w:p w14:paraId="52D1298A" w14:textId="77777777" w:rsidR="00B32C9A" w:rsidRPr="00412F9A" w:rsidRDefault="00B32C9A" w:rsidP="00BB4A74">
            <w:pPr>
              <w:spacing w:before="120" w:line="240" w:lineRule="auto"/>
            </w:pPr>
            <w:r w:rsidRPr="00412F9A">
              <w:t>2.2.5</w:t>
            </w:r>
          </w:p>
        </w:tc>
        <w:tc>
          <w:tcPr>
            <w:tcW w:w="1106" w:type="dxa"/>
            <w:shd w:val="clear" w:color="auto" w:fill="E0EDE7" w:themeFill="accent3" w:themeFillTint="33"/>
          </w:tcPr>
          <w:p w14:paraId="3D33772A" w14:textId="77777777" w:rsidR="00B32C9A" w:rsidRPr="00412F9A" w:rsidRDefault="00B32C9A" w:rsidP="00BB4A74">
            <w:pPr>
              <w:spacing w:line="240" w:lineRule="auto"/>
            </w:pPr>
          </w:p>
        </w:tc>
        <w:tc>
          <w:tcPr>
            <w:tcW w:w="688" w:type="dxa"/>
            <w:shd w:val="clear" w:color="auto" w:fill="E0EDE7" w:themeFill="accent3" w:themeFillTint="33"/>
          </w:tcPr>
          <w:p w14:paraId="7A6F4C8A"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1AD83283" w14:textId="77777777" w:rsidR="00B32C9A" w:rsidRPr="00412F9A" w:rsidRDefault="00B32C9A" w:rsidP="00BB4A74">
            <w:pPr>
              <w:spacing w:line="240" w:lineRule="auto"/>
            </w:pPr>
          </w:p>
        </w:tc>
        <w:tc>
          <w:tcPr>
            <w:tcW w:w="349" w:type="dxa"/>
            <w:tcBorders>
              <w:top w:val="nil"/>
              <w:bottom w:val="nil"/>
              <w:right w:val="single" w:sz="4" w:space="0" w:color="auto"/>
            </w:tcBorders>
          </w:tcPr>
          <w:p w14:paraId="7316801D" w14:textId="77777777" w:rsidR="00B32C9A" w:rsidRPr="00412F9A" w:rsidRDefault="00B32C9A" w:rsidP="00BB4A74">
            <w:pPr>
              <w:spacing w:line="240" w:lineRule="auto"/>
            </w:pPr>
          </w:p>
        </w:tc>
        <w:tc>
          <w:tcPr>
            <w:tcW w:w="1278" w:type="dxa"/>
            <w:tcBorders>
              <w:left w:val="single" w:sz="4" w:space="0" w:color="auto"/>
              <w:bottom w:val="single" w:sz="4" w:space="0" w:color="auto"/>
              <w:right w:val="single" w:sz="4" w:space="0" w:color="auto"/>
            </w:tcBorders>
            <w:shd w:val="clear" w:color="auto" w:fill="E0EDE7" w:themeFill="accent3" w:themeFillTint="33"/>
          </w:tcPr>
          <w:p w14:paraId="413DBF0A" w14:textId="77777777" w:rsidR="00B32C9A" w:rsidRPr="00412F9A" w:rsidRDefault="00B32C9A" w:rsidP="00BB4A74">
            <w:pPr>
              <w:spacing w:before="120" w:line="240" w:lineRule="auto"/>
            </w:pPr>
            <w:r w:rsidRPr="00412F9A">
              <w:t>2.9.1</w:t>
            </w:r>
          </w:p>
        </w:tc>
        <w:tc>
          <w:tcPr>
            <w:tcW w:w="1041" w:type="dxa"/>
            <w:tcBorders>
              <w:left w:val="single" w:sz="4" w:space="0" w:color="auto"/>
              <w:bottom w:val="single" w:sz="4" w:space="0" w:color="auto"/>
              <w:right w:val="single" w:sz="4" w:space="0" w:color="auto"/>
            </w:tcBorders>
            <w:shd w:val="clear" w:color="auto" w:fill="E0EDE7" w:themeFill="accent3" w:themeFillTint="33"/>
          </w:tcPr>
          <w:p w14:paraId="78D6A8B0" w14:textId="77777777" w:rsidR="00B32C9A" w:rsidRPr="00412F9A" w:rsidRDefault="00B32C9A" w:rsidP="00BB4A74">
            <w:pPr>
              <w:spacing w:line="240" w:lineRule="auto"/>
            </w:pPr>
          </w:p>
        </w:tc>
        <w:tc>
          <w:tcPr>
            <w:tcW w:w="717" w:type="dxa"/>
            <w:tcBorders>
              <w:left w:val="single" w:sz="4" w:space="0" w:color="auto"/>
              <w:bottom w:val="single" w:sz="4" w:space="0" w:color="auto"/>
              <w:right w:val="single" w:sz="4" w:space="0" w:color="auto"/>
            </w:tcBorders>
            <w:shd w:val="clear" w:color="auto" w:fill="E0EDE7" w:themeFill="accent3" w:themeFillTint="33"/>
          </w:tcPr>
          <w:p w14:paraId="5E1261C5" w14:textId="77777777" w:rsidR="00B32C9A" w:rsidRPr="00412F9A" w:rsidRDefault="00B32C9A" w:rsidP="00BB4A74">
            <w:pPr>
              <w:spacing w:line="240" w:lineRule="auto"/>
              <w:jc w:val="center"/>
            </w:pPr>
            <w:r>
              <w:t>X</w:t>
            </w:r>
          </w:p>
        </w:tc>
        <w:tc>
          <w:tcPr>
            <w:tcW w:w="1358" w:type="dxa"/>
            <w:tcBorders>
              <w:left w:val="single" w:sz="4" w:space="0" w:color="auto"/>
              <w:bottom w:val="single" w:sz="4" w:space="0" w:color="auto"/>
              <w:right w:val="single" w:sz="4" w:space="0" w:color="auto"/>
            </w:tcBorders>
            <w:shd w:val="clear" w:color="auto" w:fill="E0EDE7" w:themeFill="accent3" w:themeFillTint="33"/>
          </w:tcPr>
          <w:p w14:paraId="023DA9E6" w14:textId="77777777" w:rsidR="00B32C9A" w:rsidRPr="00412F9A" w:rsidRDefault="00B32C9A" w:rsidP="00BB4A74">
            <w:pPr>
              <w:spacing w:line="240" w:lineRule="auto"/>
            </w:pPr>
          </w:p>
        </w:tc>
      </w:tr>
      <w:tr w:rsidR="00B32C9A" w:rsidRPr="00412F9A" w14:paraId="071FAA55" w14:textId="77777777" w:rsidTr="00BB4A74">
        <w:trPr>
          <w:trHeight w:val="397"/>
        </w:trPr>
        <w:tc>
          <w:tcPr>
            <w:tcW w:w="1061" w:type="dxa"/>
            <w:shd w:val="clear" w:color="auto" w:fill="E0EDE7" w:themeFill="accent3" w:themeFillTint="33"/>
          </w:tcPr>
          <w:p w14:paraId="57C796DA" w14:textId="77777777" w:rsidR="00B32C9A" w:rsidRPr="00412F9A" w:rsidRDefault="00B32C9A" w:rsidP="00BB4A74">
            <w:pPr>
              <w:spacing w:before="120" w:line="240" w:lineRule="auto"/>
            </w:pPr>
            <w:r w:rsidRPr="00412F9A">
              <w:t>2.2.6</w:t>
            </w:r>
          </w:p>
        </w:tc>
        <w:tc>
          <w:tcPr>
            <w:tcW w:w="1106" w:type="dxa"/>
            <w:shd w:val="clear" w:color="auto" w:fill="E0EDE7" w:themeFill="accent3" w:themeFillTint="33"/>
          </w:tcPr>
          <w:p w14:paraId="1EF30522" w14:textId="77777777" w:rsidR="00B32C9A" w:rsidRPr="00412F9A" w:rsidRDefault="00B32C9A" w:rsidP="00BB4A74">
            <w:pPr>
              <w:spacing w:line="240" w:lineRule="auto"/>
            </w:pPr>
          </w:p>
        </w:tc>
        <w:tc>
          <w:tcPr>
            <w:tcW w:w="688" w:type="dxa"/>
            <w:shd w:val="clear" w:color="auto" w:fill="E0EDE7" w:themeFill="accent3" w:themeFillTint="33"/>
          </w:tcPr>
          <w:p w14:paraId="6C18BE51"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0C4A28E2" w14:textId="77777777" w:rsidR="00B32C9A" w:rsidRPr="00412F9A" w:rsidRDefault="00B32C9A" w:rsidP="00BB4A74">
            <w:pPr>
              <w:spacing w:line="240" w:lineRule="auto"/>
            </w:pPr>
          </w:p>
        </w:tc>
        <w:tc>
          <w:tcPr>
            <w:tcW w:w="349" w:type="dxa"/>
            <w:tcBorders>
              <w:top w:val="nil"/>
              <w:bottom w:val="nil"/>
              <w:right w:val="single" w:sz="4" w:space="0" w:color="auto"/>
            </w:tcBorders>
          </w:tcPr>
          <w:p w14:paraId="140F1888" w14:textId="77777777" w:rsidR="00B32C9A" w:rsidRPr="00412F9A" w:rsidRDefault="00B32C9A" w:rsidP="00BB4A74">
            <w:pPr>
              <w:spacing w:line="240" w:lineRule="auto"/>
            </w:pPr>
          </w:p>
        </w:tc>
        <w:tc>
          <w:tcPr>
            <w:tcW w:w="1278"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222CD640" w14:textId="77777777" w:rsidR="00B32C9A" w:rsidRPr="00412F9A" w:rsidRDefault="00B32C9A" w:rsidP="00BB4A74">
            <w:pPr>
              <w:spacing w:before="120" w:line="240" w:lineRule="auto"/>
            </w:pPr>
            <w:r w:rsidRPr="00412F9A">
              <w:t>2.9.2</w:t>
            </w:r>
          </w:p>
        </w:tc>
        <w:tc>
          <w:tcPr>
            <w:tcW w:w="1041"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2D241B9C" w14:textId="77777777" w:rsidR="00B32C9A" w:rsidRPr="00412F9A" w:rsidRDefault="00B32C9A" w:rsidP="00BB4A74">
            <w:pPr>
              <w:spacing w:line="240" w:lineRule="auto"/>
            </w:pPr>
          </w:p>
        </w:tc>
        <w:tc>
          <w:tcPr>
            <w:tcW w:w="717"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5D43F8A7" w14:textId="77777777" w:rsidR="00B32C9A" w:rsidRPr="00412F9A" w:rsidRDefault="00B32C9A" w:rsidP="00BB4A74">
            <w:pPr>
              <w:spacing w:line="240" w:lineRule="auto"/>
              <w:jc w:val="center"/>
            </w:pPr>
            <w:r>
              <w:t>X</w:t>
            </w:r>
          </w:p>
        </w:tc>
        <w:tc>
          <w:tcPr>
            <w:tcW w:w="1358"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13A6F55D" w14:textId="77777777" w:rsidR="00B32C9A" w:rsidRPr="00412F9A" w:rsidRDefault="00B32C9A" w:rsidP="00BB4A74">
            <w:pPr>
              <w:spacing w:line="240" w:lineRule="auto"/>
            </w:pPr>
          </w:p>
        </w:tc>
      </w:tr>
      <w:tr w:rsidR="00B32C9A" w:rsidRPr="00412F9A" w14:paraId="25906CD1" w14:textId="77777777" w:rsidTr="00BB4A74">
        <w:trPr>
          <w:trHeight w:val="397"/>
        </w:trPr>
        <w:tc>
          <w:tcPr>
            <w:tcW w:w="1061" w:type="dxa"/>
            <w:shd w:val="clear" w:color="auto" w:fill="E0EDE7" w:themeFill="accent3" w:themeFillTint="33"/>
          </w:tcPr>
          <w:p w14:paraId="64D64589" w14:textId="77777777" w:rsidR="00B32C9A" w:rsidRPr="00412F9A" w:rsidRDefault="00B32C9A" w:rsidP="00BB4A74">
            <w:pPr>
              <w:spacing w:before="120" w:line="240" w:lineRule="auto"/>
            </w:pPr>
            <w:r w:rsidRPr="00412F9A">
              <w:t>2.2.7</w:t>
            </w:r>
          </w:p>
        </w:tc>
        <w:tc>
          <w:tcPr>
            <w:tcW w:w="1106" w:type="dxa"/>
            <w:shd w:val="clear" w:color="auto" w:fill="E0EDE7" w:themeFill="accent3" w:themeFillTint="33"/>
          </w:tcPr>
          <w:p w14:paraId="0B367DA0" w14:textId="77777777" w:rsidR="00B32C9A" w:rsidRPr="00412F9A" w:rsidRDefault="00B32C9A" w:rsidP="00BB4A74">
            <w:pPr>
              <w:spacing w:line="240" w:lineRule="auto"/>
            </w:pPr>
          </w:p>
        </w:tc>
        <w:tc>
          <w:tcPr>
            <w:tcW w:w="688" w:type="dxa"/>
            <w:shd w:val="clear" w:color="auto" w:fill="E0EDE7" w:themeFill="accent3" w:themeFillTint="33"/>
          </w:tcPr>
          <w:p w14:paraId="447E2955"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37048349" w14:textId="77777777" w:rsidR="00B32C9A" w:rsidRPr="00412F9A" w:rsidRDefault="00B32C9A" w:rsidP="00BB4A74">
            <w:pPr>
              <w:spacing w:line="240" w:lineRule="auto"/>
            </w:pPr>
          </w:p>
        </w:tc>
        <w:tc>
          <w:tcPr>
            <w:tcW w:w="349" w:type="dxa"/>
            <w:tcBorders>
              <w:top w:val="nil"/>
              <w:bottom w:val="nil"/>
              <w:right w:val="single" w:sz="4" w:space="0" w:color="auto"/>
            </w:tcBorders>
          </w:tcPr>
          <w:p w14:paraId="432D6674" w14:textId="77777777" w:rsidR="00B32C9A" w:rsidRPr="00412F9A" w:rsidRDefault="00B32C9A" w:rsidP="00BB4A74">
            <w:pPr>
              <w:spacing w:line="240" w:lineRule="auto"/>
            </w:pPr>
          </w:p>
        </w:tc>
        <w:tc>
          <w:tcPr>
            <w:tcW w:w="1278"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3FC04F4D" w14:textId="77777777" w:rsidR="00B32C9A" w:rsidRPr="00412F9A" w:rsidRDefault="00B32C9A" w:rsidP="00BB4A74">
            <w:pPr>
              <w:spacing w:before="120" w:line="240" w:lineRule="auto"/>
            </w:pPr>
            <w:r w:rsidRPr="00412F9A">
              <w:t>2.10.1</w:t>
            </w:r>
          </w:p>
        </w:tc>
        <w:tc>
          <w:tcPr>
            <w:tcW w:w="1041"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4FAF0AAC" w14:textId="77777777" w:rsidR="00B32C9A" w:rsidRPr="00412F9A" w:rsidRDefault="00B32C9A" w:rsidP="00BB4A74">
            <w:pPr>
              <w:spacing w:line="240" w:lineRule="auto"/>
            </w:pPr>
          </w:p>
        </w:tc>
        <w:tc>
          <w:tcPr>
            <w:tcW w:w="717"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09395030" w14:textId="77777777" w:rsidR="00B32C9A" w:rsidRPr="00412F9A" w:rsidRDefault="00B32C9A" w:rsidP="00BB4A74">
            <w:pPr>
              <w:spacing w:line="240" w:lineRule="auto"/>
              <w:jc w:val="center"/>
            </w:pPr>
            <w:r>
              <w:t>X</w:t>
            </w:r>
          </w:p>
        </w:tc>
        <w:tc>
          <w:tcPr>
            <w:tcW w:w="1358"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76C603E5" w14:textId="77777777" w:rsidR="00B32C9A" w:rsidRPr="00412F9A" w:rsidRDefault="00B32C9A" w:rsidP="00BB4A74">
            <w:pPr>
              <w:spacing w:line="240" w:lineRule="auto"/>
            </w:pPr>
          </w:p>
        </w:tc>
      </w:tr>
      <w:tr w:rsidR="00B32C9A" w:rsidRPr="00412F9A" w14:paraId="577B1793" w14:textId="77777777" w:rsidTr="00BB4A74">
        <w:trPr>
          <w:trHeight w:val="397"/>
        </w:trPr>
        <w:tc>
          <w:tcPr>
            <w:tcW w:w="1061" w:type="dxa"/>
            <w:shd w:val="clear" w:color="auto" w:fill="E0EDE7" w:themeFill="accent3" w:themeFillTint="33"/>
          </w:tcPr>
          <w:p w14:paraId="30AB54E2" w14:textId="77777777" w:rsidR="00B32C9A" w:rsidRPr="00412F9A" w:rsidRDefault="00B32C9A" w:rsidP="00BB4A74">
            <w:pPr>
              <w:spacing w:before="120" w:line="240" w:lineRule="auto"/>
            </w:pPr>
            <w:r w:rsidRPr="00412F9A">
              <w:t>2.2.8</w:t>
            </w:r>
          </w:p>
        </w:tc>
        <w:tc>
          <w:tcPr>
            <w:tcW w:w="1106" w:type="dxa"/>
            <w:shd w:val="clear" w:color="auto" w:fill="E0EDE7" w:themeFill="accent3" w:themeFillTint="33"/>
          </w:tcPr>
          <w:p w14:paraId="37E43C77" w14:textId="77777777" w:rsidR="00B32C9A" w:rsidRPr="00412F9A" w:rsidRDefault="00B32C9A" w:rsidP="00BB4A74">
            <w:pPr>
              <w:spacing w:line="240" w:lineRule="auto"/>
            </w:pPr>
          </w:p>
        </w:tc>
        <w:tc>
          <w:tcPr>
            <w:tcW w:w="688" w:type="dxa"/>
            <w:shd w:val="clear" w:color="auto" w:fill="E0EDE7" w:themeFill="accent3" w:themeFillTint="33"/>
          </w:tcPr>
          <w:p w14:paraId="49F07D51"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2A046F55" w14:textId="77777777" w:rsidR="00B32C9A" w:rsidRPr="00412F9A" w:rsidRDefault="00B32C9A" w:rsidP="00BB4A74">
            <w:pPr>
              <w:spacing w:line="240" w:lineRule="auto"/>
            </w:pPr>
          </w:p>
        </w:tc>
        <w:tc>
          <w:tcPr>
            <w:tcW w:w="349" w:type="dxa"/>
            <w:tcBorders>
              <w:top w:val="nil"/>
              <w:bottom w:val="nil"/>
              <w:right w:val="nil"/>
            </w:tcBorders>
          </w:tcPr>
          <w:p w14:paraId="072FE0BB" w14:textId="77777777" w:rsidR="00B32C9A" w:rsidRPr="00412F9A" w:rsidRDefault="00B32C9A" w:rsidP="00BB4A74">
            <w:pPr>
              <w:spacing w:line="240" w:lineRule="auto"/>
            </w:pPr>
          </w:p>
        </w:tc>
        <w:tc>
          <w:tcPr>
            <w:tcW w:w="1278" w:type="dxa"/>
            <w:tcBorders>
              <w:top w:val="single" w:sz="4" w:space="0" w:color="auto"/>
              <w:left w:val="nil"/>
              <w:bottom w:val="nil"/>
              <w:right w:val="nil"/>
            </w:tcBorders>
            <w:shd w:val="clear" w:color="auto" w:fill="auto"/>
          </w:tcPr>
          <w:p w14:paraId="52CD1909" w14:textId="77777777" w:rsidR="00B32C9A" w:rsidRPr="00412F9A" w:rsidRDefault="00B32C9A" w:rsidP="00BB4A74">
            <w:pPr>
              <w:spacing w:before="120" w:line="240" w:lineRule="auto"/>
            </w:pPr>
          </w:p>
        </w:tc>
        <w:tc>
          <w:tcPr>
            <w:tcW w:w="1041" w:type="dxa"/>
            <w:tcBorders>
              <w:top w:val="single" w:sz="4" w:space="0" w:color="auto"/>
              <w:left w:val="nil"/>
              <w:bottom w:val="nil"/>
              <w:right w:val="nil"/>
            </w:tcBorders>
            <w:shd w:val="clear" w:color="auto" w:fill="auto"/>
          </w:tcPr>
          <w:p w14:paraId="21464377" w14:textId="77777777" w:rsidR="00B32C9A" w:rsidRPr="00412F9A" w:rsidRDefault="00B32C9A" w:rsidP="00BB4A74">
            <w:pPr>
              <w:spacing w:line="240" w:lineRule="auto"/>
            </w:pPr>
          </w:p>
        </w:tc>
        <w:tc>
          <w:tcPr>
            <w:tcW w:w="717" w:type="dxa"/>
            <w:tcBorders>
              <w:top w:val="single" w:sz="4" w:space="0" w:color="auto"/>
              <w:left w:val="nil"/>
              <w:bottom w:val="nil"/>
              <w:right w:val="nil"/>
            </w:tcBorders>
            <w:shd w:val="clear" w:color="auto" w:fill="auto"/>
          </w:tcPr>
          <w:p w14:paraId="1F96F3DD" w14:textId="77777777" w:rsidR="00B32C9A" w:rsidRPr="00412F9A" w:rsidRDefault="00B32C9A" w:rsidP="00BB4A74">
            <w:pPr>
              <w:spacing w:line="240" w:lineRule="auto"/>
            </w:pPr>
          </w:p>
        </w:tc>
        <w:tc>
          <w:tcPr>
            <w:tcW w:w="1358" w:type="dxa"/>
            <w:tcBorders>
              <w:top w:val="single" w:sz="4" w:space="0" w:color="auto"/>
              <w:left w:val="nil"/>
              <w:bottom w:val="nil"/>
              <w:right w:val="nil"/>
            </w:tcBorders>
            <w:shd w:val="clear" w:color="auto" w:fill="auto"/>
          </w:tcPr>
          <w:p w14:paraId="7D1631A2" w14:textId="77777777" w:rsidR="00B32C9A" w:rsidRPr="00412F9A" w:rsidRDefault="00B32C9A" w:rsidP="00BB4A74">
            <w:pPr>
              <w:spacing w:line="240" w:lineRule="auto"/>
            </w:pPr>
          </w:p>
        </w:tc>
      </w:tr>
      <w:tr w:rsidR="00B32C9A" w:rsidRPr="00412F9A" w14:paraId="64E328B5" w14:textId="77777777" w:rsidTr="00BB4A74">
        <w:trPr>
          <w:trHeight w:val="397"/>
        </w:trPr>
        <w:tc>
          <w:tcPr>
            <w:tcW w:w="1061" w:type="dxa"/>
            <w:shd w:val="clear" w:color="auto" w:fill="E0EDE7" w:themeFill="accent3" w:themeFillTint="33"/>
          </w:tcPr>
          <w:p w14:paraId="284448D5" w14:textId="77777777" w:rsidR="00B32C9A" w:rsidRPr="00412F9A" w:rsidRDefault="00B32C9A" w:rsidP="00BB4A74">
            <w:pPr>
              <w:spacing w:before="120" w:line="240" w:lineRule="auto"/>
            </w:pPr>
            <w:r w:rsidRPr="00412F9A">
              <w:t>2.2.9</w:t>
            </w:r>
          </w:p>
        </w:tc>
        <w:tc>
          <w:tcPr>
            <w:tcW w:w="1106" w:type="dxa"/>
            <w:shd w:val="clear" w:color="auto" w:fill="E0EDE7" w:themeFill="accent3" w:themeFillTint="33"/>
          </w:tcPr>
          <w:p w14:paraId="5EAAD278" w14:textId="77777777" w:rsidR="00B32C9A" w:rsidRPr="00412F9A" w:rsidRDefault="00B32C9A" w:rsidP="00BB4A74">
            <w:pPr>
              <w:spacing w:line="240" w:lineRule="auto"/>
            </w:pPr>
          </w:p>
        </w:tc>
        <w:tc>
          <w:tcPr>
            <w:tcW w:w="688" w:type="dxa"/>
            <w:shd w:val="clear" w:color="auto" w:fill="E0EDE7" w:themeFill="accent3" w:themeFillTint="33"/>
          </w:tcPr>
          <w:p w14:paraId="5A591D2F" w14:textId="77777777" w:rsidR="00B32C9A" w:rsidRPr="00412F9A" w:rsidRDefault="00B32C9A" w:rsidP="00BB4A74">
            <w:pPr>
              <w:spacing w:line="240" w:lineRule="auto"/>
              <w:jc w:val="center"/>
            </w:pPr>
            <w:r>
              <w:t>X</w:t>
            </w:r>
          </w:p>
        </w:tc>
        <w:tc>
          <w:tcPr>
            <w:tcW w:w="1350" w:type="dxa"/>
            <w:shd w:val="clear" w:color="auto" w:fill="E0EDE7" w:themeFill="accent3" w:themeFillTint="33"/>
          </w:tcPr>
          <w:p w14:paraId="27C17AE1" w14:textId="77777777" w:rsidR="00B32C9A" w:rsidRPr="00412F9A" w:rsidRDefault="00B32C9A" w:rsidP="00BB4A74">
            <w:pPr>
              <w:spacing w:line="240" w:lineRule="auto"/>
            </w:pPr>
          </w:p>
        </w:tc>
        <w:tc>
          <w:tcPr>
            <w:tcW w:w="349" w:type="dxa"/>
            <w:tcBorders>
              <w:top w:val="nil"/>
              <w:bottom w:val="nil"/>
              <w:right w:val="nil"/>
            </w:tcBorders>
          </w:tcPr>
          <w:p w14:paraId="4493C54E" w14:textId="77777777" w:rsidR="00B32C9A" w:rsidRPr="00412F9A" w:rsidRDefault="00B32C9A" w:rsidP="00BB4A74">
            <w:pPr>
              <w:spacing w:line="240" w:lineRule="auto"/>
            </w:pPr>
          </w:p>
        </w:tc>
        <w:tc>
          <w:tcPr>
            <w:tcW w:w="1278" w:type="dxa"/>
            <w:tcBorders>
              <w:top w:val="nil"/>
              <w:left w:val="nil"/>
              <w:bottom w:val="nil"/>
              <w:right w:val="nil"/>
            </w:tcBorders>
            <w:shd w:val="clear" w:color="auto" w:fill="auto"/>
          </w:tcPr>
          <w:p w14:paraId="74052AAF" w14:textId="77777777" w:rsidR="00B32C9A" w:rsidRPr="00412F9A" w:rsidRDefault="00B32C9A" w:rsidP="00BB4A74">
            <w:pPr>
              <w:spacing w:before="120" w:line="240" w:lineRule="auto"/>
            </w:pPr>
          </w:p>
        </w:tc>
        <w:tc>
          <w:tcPr>
            <w:tcW w:w="1041" w:type="dxa"/>
            <w:tcBorders>
              <w:top w:val="nil"/>
              <w:left w:val="nil"/>
              <w:bottom w:val="nil"/>
              <w:right w:val="nil"/>
            </w:tcBorders>
            <w:shd w:val="clear" w:color="auto" w:fill="auto"/>
          </w:tcPr>
          <w:p w14:paraId="05436441" w14:textId="77777777" w:rsidR="00B32C9A" w:rsidRPr="00412F9A" w:rsidRDefault="00B32C9A" w:rsidP="00BB4A74">
            <w:pPr>
              <w:spacing w:line="240" w:lineRule="auto"/>
            </w:pPr>
          </w:p>
        </w:tc>
        <w:tc>
          <w:tcPr>
            <w:tcW w:w="717" w:type="dxa"/>
            <w:tcBorders>
              <w:top w:val="nil"/>
              <w:left w:val="nil"/>
              <w:bottom w:val="nil"/>
              <w:right w:val="nil"/>
            </w:tcBorders>
            <w:shd w:val="clear" w:color="auto" w:fill="auto"/>
          </w:tcPr>
          <w:p w14:paraId="0569BBA7" w14:textId="77777777" w:rsidR="00B32C9A" w:rsidRPr="00412F9A" w:rsidRDefault="00B32C9A" w:rsidP="00BB4A74">
            <w:pPr>
              <w:spacing w:line="240" w:lineRule="auto"/>
            </w:pPr>
          </w:p>
        </w:tc>
        <w:tc>
          <w:tcPr>
            <w:tcW w:w="1358" w:type="dxa"/>
            <w:tcBorders>
              <w:top w:val="nil"/>
              <w:left w:val="nil"/>
              <w:bottom w:val="nil"/>
              <w:right w:val="nil"/>
            </w:tcBorders>
            <w:shd w:val="clear" w:color="auto" w:fill="auto"/>
          </w:tcPr>
          <w:p w14:paraId="4450A553" w14:textId="77777777" w:rsidR="00B32C9A" w:rsidRPr="00412F9A" w:rsidRDefault="00B32C9A" w:rsidP="00BB4A74">
            <w:pPr>
              <w:spacing w:line="240" w:lineRule="auto"/>
            </w:pPr>
          </w:p>
        </w:tc>
      </w:tr>
    </w:tbl>
    <w:p w14:paraId="0A934555" w14:textId="77777777" w:rsidR="00246571" w:rsidRPr="00246571" w:rsidRDefault="00246571" w:rsidP="00246571"/>
    <w:p w14:paraId="5802D4CD" w14:textId="1DB886A0" w:rsidR="00187F41" w:rsidRDefault="00187F41" w:rsidP="00187F41">
      <w:pPr>
        <w:pStyle w:val="Virsraksts1"/>
      </w:pPr>
      <w:bookmarkStart w:id="32" w:name="_Toc454366470"/>
      <w:r>
        <w:lastRenderedPageBreak/>
        <w:t>Supplier Verification Programme</w:t>
      </w:r>
      <w:bookmarkEnd w:id="32"/>
    </w:p>
    <w:p w14:paraId="4B11729A" w14:textId="23E3786F" w:rsidR="00187F41" w:rsidRDefault="00187F41" w:rsidP="00187F41">
      <w:pPr>
        <w:pStyle w:val="Virsraksts2"/>
      </w:pPr>
      <w:bookmarkStart w:id="33" w:name="_Toc454366471"/>
      <w:r>
        <w:t>Description of the Supplier Verification Programme</w:t>
      </w:r>
      <w:bookmarkEnd w:id="33"/>
    </w:p>
    <w:p w14:paraId="78ECB1BD" w14:textId="77777777" w:rsidR="00123E39" w:rsidRDefault="00123E39" w:rsidP="00123E39">
      <w:pPr>
        <w:spacing w:after="0" w:line="276" w:lineRule="auto"/>
        <w:ind w:left="-5"/>
      </w:pPr>
      <w:r>
        <w:t>Risk mitigation measures refer to the following feedstock categories:</w:t>
      </w:r>
    </w:p>
    <w:p w14:paraId="2B6B9E11" w14:textId="77777777" w:rsidR="00123E39" w:rsidRDefault="00123E39" w:rsidP="00123E39">
      <w:pPr>
        <w:pStyle w:val="Sarakstarindkopa"/>
        <w:numPr>
          <w:ilvl w:val="0"/>
          <w:numId w:val="21"/>
        </w:numPr>
        <w:spacing w:after="0" w:line="276" w:lineRule="auto"/>
      </w:pPr>
      <w:r>
        <w:t>Primary feedstock supplies;</w:t>
      </w:r>
    </w:p>
    <w:p w14:paraId="5A9BB622" w14:textId="7F80F431" w:rsidR="00123E39" w:rsidRDefault="00C40B23" w:rsidP="00123E39">
      <w:pPr>
        <w:pStyle w:val="Sarakstarindkopa"/>
        <w:numPr>
          <w:ilvl w:val="0"/>
          <w:numId w:val="21"/>
        </w:numPr>
        <w:spacing w:after="0" w:line="276" w:lineRule="auto"/>
      </w:pPr>
      <w:r>
        <w:t>To</w:t>
      </w:r>
      <w:r w:rsidR="00123E39">
        <w:t xml:space="preserve"> supplies</w:t>
      </w:r>
      <w:r>
        <w:t xml:space="preserve"> from agricultural lands</w:t>
      </w:r>
      <w:r w:rsidR="00123E39">
        <w:t>.</w:t>
      </w:r>
    </w:p>
    <w:p w14:paraId="22A72CE4" w14:textId="77777777" w:rsidR="00123E39" w:rsidRDefault="00123E39" w:rsidP="00123E39">
      <w:pPr>
        <w:spacing w:after="0" w:line="276" w:lineRule="auto"/>
      </w:pPr>
    </w:p>
    <w:p w14:paraId="0271E7F2" w14:textId="77777777" w:rsidR="00123E39" w:rsidRDefault="00123E39" w:rsidP="00123E39">
      <w:pPr>
        <w:spacing w:after="0" w:line="276" w:lineRule="auto"/>
      </w:pPr>
      <w:r>
        <w:t>SIA PATA divide suppliers in two categories:</w:t>
      </w:r>
    </w:p>
    <w:p w14:paraId="66DBDC78" w14:textId="77777777" w:rsidR="00123E39" w:rsidRDefault="00123E39" w:rsidP="00123E39">
      <w:pPr>
        <w:spacing w:after="0" w:line="276" w:lineRule="auto"/>
      </w:pPr>
    </w:p>
    <w:p w14:paraId="1BA5D239" w14:textId="77777777" w:rsidR="00123E39" w:rsidRDefault="00123E39" w:rsidP="00123E39">
      <w:pPr>
        <w:spacing w:after="0" w:line="276" w:lineRule="auto"/>
      </w:pPr>
      <w:r>
        <w:t xml:space="preserve">1st category – </w:t>
      </w:r>
      <w:r w:rsidRPr="005C0600">
        <w:rPr>
          <w:b/>
        </w:rPr>
        <w:t>SBP compliant supplier</w:t>
      </w:r>
      <w:r>
        <w:t xml:space="preserve"> – the suppliers who have signed an agreement on the supplies of SBP compliant feedstock. The supplier </w:t>
      </w:r>
      <w:proofErr w:type="gramStart"/>
      <w:r>
        <w:t>make</w:t>
      </w:r>
      <w:proofErr w:type="gramEnd"/>
      <w:r>
        <w:t xml:space="preserve"> mitigation of risk category, test feedstock supplies from all wood units of origin. If the supplier has not assessed the logging unit and has ignored any of the risk categories that it has not identified or has concealed, the supplier is excluded from SBP compliant feedstock supplier list.</w:t>
      </w:r>
    </w:p>
    <w:p w14:paraId="437E8B08" w14:textId="77777777" w:rsidR="00123E39" w:rsidRDefault="00123E39" w:rsidP="00123E39">
      <w:pPr>
        <w:spacing w:after="0" w:line="276" w:lineRule="auto"/>
      </w:pPr>
    </w:p>
    <w:p w14:paraId="68A87FD4" w14:textId="77777777" w:rsidR="00123E39" w:rsidRDefault="00123E39" w:rsidP="00123E39">
      <w:pPr>
        <w:spacing w:after="0" w:line="276" w:lineRule="auto"/>
      </w:pPr>
      <w:r>
        <w:t xml:space="preserve">2nd category – </w:t>
      </w:r>
      <w:r w:rsidRPr="006F46C4">
        <w:rPr>
          <w:b/>
        </w:rPr>
        <w:t>SBP non-compliant supplier</w:t>
      </w:r>
      <w:r>
        <w:t xml:space="preserve"> – includes all suppliers that have not performed risk assessment for the entire amount of supplied wood and with whom an agreement has not been signed on SBP compliant feedstock supplies.</w:t>
      </w:r>
    </w:p>
    <w:p w14:paraId="233CE4A0" w14:textId="77777777" w:rsidR="00123E39" w:rsidRDefault="00123E39" w:rsidP="00123E39">
      <w:pPr>
        <w:spacing w:after="0" w:line="276" w:lineRule="auto"/>
      </w:pPr>
    </w:p>
    <w:p w14:paraId="721B8438" w14:textId="77777777" w:rsidR="00123E39" w:rsidRDefault="00123E39" w:rsidP="00123E39">
      <w:pPr>
        <w:spacing w:after="0" w:line="276" w:lineRule="auto"/>
      </w:pPr>
      <w:r>
        <w:t xml:space="preserve">An independent auditing company may </w:t>
      </w:r>
      <w:proofErr w:type="gramStart"/>
      <w:r>
        <w:t>performs</w:t>
      </w:r>
      <w:proofErr w:type="gramEnd"/>
      <w:r>
        <w:t xml:space="preserve"> the compliance assessment and verification of the suppliers approved by SIA PATA. If the audit finds that any of the suppliers has ignored risk categories during audit, the assessment programme is reviewed, and the supplier is excluded from SBP compliant feedstock supplier list.</w:t>
      </w:r>
    </w:p>
    <w:p w14:paraId="24AC5E18" w14:textId="77777777" w:rsidR="00123E39" w:rsidRDefault="00123E39" w:rsidP="00123E39">
      <w:pPr>
        <w:spacing w:after="0" w:line="276" w:lineRule="auto"/>
      </w:pPr>
    </w:p>
    <w:p w14:paraId="03A27B0A" w14:textId="77777777" w:rsidR="00123E39" w:rsidRDefault="00123E39" w:rsidP="00123E39">
      <w:pPr>
        <w:spacing w:after="0" w:line="276" w:lineRule="auto"/>
      </w:pPr>
      <w:proofErr w:type="gramStart"/>
      <w:r>
        <w:t>During  the</w:t>
      </w:r>
      <w:proofErr w:type="gramEnd"/>
      <w:r>
        <w:t xml:space="preserve"> development process of SBE certification, the company identified SIA PATA related companies who have agreed and signed an agreement on implementation of SBE requirements.</w:t>
      </w:r>
    </w:p>
    <w:p w14:paraId="0B56EA94" w14:textId="77777777" w:rsidR="00123E39" w:rsidRDefault="00123E39" w:rsidP="00123E39">
      <w:pPr>
        <w:spacing w:after="0" w:line="276" w:lineRule="auto"/>
      </w:pPr>
    </w:p>
    <w:p w14:paraId="2071EF3B" w14:textId="77777777" w:rsidR="00123E39" w:rsidRDefault="00123E39" w:rsidP="00123E39">
      <w:pPr>
        <w:spacing w:after="0" w:line="276" w:lineRule="auto"/>
      </w:pPr>
      <w:r>
        <w:t xml:space="preserve">To make sure that SBP requirements are applicable, </w:t>
      </w:r>
      <w:r w:rsidRPr="00E37E90">
        <w:t>big suppliers are checked one time per year, and smaller suppliers in randomly.</w:t>
      </w:r>
      <w:r>
        <w:t xml:space="preserve"> </w:t>
      </w:r>
    </w:p>
    <w:p w14:paraId="4DF37E81" w14:textId="77777777" w:rsidR="00123E39" w:rsidRDefault="00123E39" w:rsidP="00123E39">
      <w:pPr>
        <w:spacing w:after="0" w:line="276" w:lineRule="auto"/>
        <w:ind w:left="-5"/>
      </w:pPr>
    </w:p>
    <w:p w14:paraId="1148ED10" w14:textId="77777777" w:rsidR="00123E39" w:rsidRDefault="00123E39" w:rsidP="00123E39">
      <w:pPr>
        <w:spacing w:after="0" w:line="276" w:lineRule="auto"/>
        <w:ind w:left="-5"/>
      </w:pPr>
      <w:r>
        <w:t>Unapproved suppliers that are competent in risk category assessment and have expressed an interest in supplying SBP compliant biomass and fulfilled minimum criteria, are included in SBP compliant feedstock supplier list. The minimum criteria for approving SBP compliant suppliers are described in the company procedures.</w:t>
      </w:r>
    </w:p>
    <w:p w14:paraId="35BB3C41" w14:textId="77777777" w:rsidR="00123E39" w:rsidRDefault="00123E39" w:rsidP="00123E39">
      <w:pPr>
        <w:spacing w:after="0" w:line="276" w:lineRule="auto"/>
        <w:ind w:left="-5"/>
      </w:pPr>
    </w:p>
    <w:p w14:paraId="6B03615A" w14:textId="3269C89B" w:rsidR="00123E39" w:rsidRDefault="00123E39" w:rsidP="00123E39">
      <w:pPr>
        <w:spacing w:after="0" w:line="276" w:lineRule="auto"/>
        <w:ind w:left="-5"/>
      </w:pPr>
      <w:r>
        <w:t xml:space="preserve">During risk mitigation process all the possible felling sites obligatory are inspected by suppliers at the website of potential biotope signs – </w:t>
      </w:r>
      <w:hyperlink r:id="rId23" w:history="1">
        <w:r w:rsidRPr="00E5354B">
          <w:rPr>
            <w:rStyle w:val="Hipersaite"/>
          </w:rPr>
          <w:t>www.latbio.lv/MBI/</w:t>
        </w:r>
      </w:hyperlink>
      <w:r>
        <w:rPr>
          <w:rStyle w:val="Hipersaite"/>
        </w:rPr>
        <w:t xml:space="preserve">  </w:t>
      </w:r>
      <w:r w:rsidRPr="00123E39">
        <w:rPr>
          <w:rStyle w:val="Hipersaite"/>
          <w:color w:val="000000" w:themeColor="text1"/>
          <w:u w:val="none"/>
        </w:rPr>
        <w:t xml:space="preserve">and </w:t>
      </w:r>
      <w:hyperlink r:id="rId24" w:history="1">
        <w:r>
          <w:rPr>
            <w:rStyle w:val="Hipersaite"/>
          </w:rPr>
          <w:t>https://www.daba.gov.lv/public/lat/dati1/dabas_datu_parvaldibas_sistema_ozols/</w:t>
        </w:r>
      </w:hyperlink>
      <w:r>
        <w:t>.</w:t>
      </w:r>
    </w:p>
    <w:p w14:paraId="7BBAAE6E" w14:textId="77777777" w:rsidR="00123E39" w:rsidRDefault="00123E39" w:rsidP="00123E39">
      <w:pPr>
        <w:spacing w:after="0" w:line="276" w:lineRule="auto"/>
        <w:ind w:left="-5"/>
      </w:pPr>
    </w:p>
    <w:p w14:paraId="43C2B22A" w14:textId="77777777" w:rsidR="00123E39" w:rsidRDefault="00123E39" w:rsidP="00123E39">
      <w:pPr>
        <w:spacing w:after="0" w:line="276" w:lineRule="auto"/>
        <w:ind w:left="-5"/>
      </w:pPr>
      <w:r w:rsidRPr="00860116">
        <w:t>Based on the inventory of biotopes in Estonia and available documentary information in the accompanying documents, the risk mitigation program for Estonian wood supplies included only a documentary check</w:t>
      </w:r>
      <w:r>
        <w:t>.</w:t>
      </w:r>
    </w:p>
    <w:p w14:paraId="1F39C702" w14:textId="77777777" w:rsidR="00123E39" w:rsidRDefault="00123E39" w:rsidP="00123E39">
      <w:pPr>
        <w:spacing w:after="0" w:line="276" w:lineRule="auto"/>
        <w:ind w:left="-5"/>
      </w:pPr>
    </w:p>
    <w:p w14:paraId="069451BA" w14:textId="77777777" w:rsidR="00123E39" w:rsidRDefault="00123E39" w:rsidP="00123E39">
      <w:pPr>
        <w:spacing w:after="0" w:line="276" w:lineRule="auto"/>
        <w:ind w:left="-5"/>
      </w:pPr>
      <w:r w:rsidRPr="00524438">
        <w:t xml:space="preserve">A risk mitigation program for Lithuanian wood supplies includes a documentary </w:t>
      </w:r>
      <w:r>
        <w:t>approval</w:t>
      </w:r>
      <w:r w:rsidRPr="00524438">
        <w:t xml:space="preserve"> that </w:t>
      </w:r>
      <w:r>
        <w:t xml:space="preserve">woodland key </w:t>
      </w:r>
      <w:r w:rsidRPr="00524438">
        <w:t xml:space="preserve">habitats are not identified in the wood </w:t>
      </w:r>
      <w:r>
        <w:t xml:space="preserve">material </w:t>
      </w:r>
      <w:r w:rsidRPr="00524438">
        <w:t xml:space="preserve">source </w:t>
      </w:r>
      <w:r>
        <w:t xml:space="preserve">place </w:t>
      </w:r>
      <w:r w:rsidRPr="00524438">
        <w:t xml:space="preserve">and that </w:t>
      </w:r>
      <w:r>
        <w:t>work</w:t>
      </w:r>
      <w:r w:rsidRPr="00524438">
        <w:t xml:space="preserve"> safety requirements are met.</w:t>
      </w:r>
    </w:p>
    <w:p w14:paraId="68900A6C" w14:textId="77777777" w:rsidR="00123E39" w:rsidRPr="00123E39" w:rsidRDefault="00123E39" w:rsidP="00123E39"/>
    <w:p w14:paraId="2BEF370B" w14:textId="47F13046" w:rsidR="00187F41" w:rsidRDefault="00187F41" w:rsidP="00187F41">
      <w:pPr>
        <w:pStyle w:val="Virsraksts2"/>
      </w:pPr>
      <w:bookmarkStart w:id="34" w:name="_Toc412646214"/>
      <w:bookmarkStart w:id="35" w:name="_Toc454366472"/>
      <w:r>
        <w:lastRenderedPageBreak/>
        <w:t>Site visits</w:t>
      </w:r>
      <w:bookmarkEnd w:id="34"/>
      <w:bookmarkEnd w:id="35"/>
    </w:p>
    <w:p w14:paraId="592BB99E" w14:textId="77777777" w:rsidR="00123E39" w:rsidRDefault="00123E39" w:rsidP="00123E39">
      <w:pPr>
        <w:spacing w:after="0" w:line="276" w:lineRule="auto"/>
        <w:ind w:left="-5"/>
      </w:pPr>
      <w:proofErr w:type="spellStart"/>
      <w:r>
        <w:t>Checkings</w:t>
      </w:r>
      <w:proofErr w:type="spellEnd"/>
      <w:r>
        <w:t xml:space="preserve"> are carried out selectively prior to logging or during logging.</w:t>
      </w:r>
    </w:p>
    <w:p w14:paraId="7D7CD855" w14:textId="77777777" w:rsidR="00123E39" w:rsidRDefault="00123E39" w:rsidP="00123E39">
      <w:pPr>
        <w:spacing w:after="0" w:line="276" w:lineRule="auto"/>
        <w:ind w:left="-5"/>
      </w:pPr>
    </w:p>
    <w:p w14:paraId="39843156" w14:textId="77777777" w:rsidR="00123E39" w:rsidRDefault="00123E39" w:rsidP="00123E39">
      <w:pPr>
        <w:spacing w:after="0" w:line="276" w:lineRule="auto"/>
        <w:ind w:left="-5"/>
      </w:pPr>
      <w:r>
        <w:t>As an obligatory, those properties and forest sites are visited that in LATBIO data base shows signs of potential biologically valuable stands – forest biotopes of European significance, natural forest biotopes.</w:t>
      </w:r>
    </w:p>
    <w:p w14:paraId="1F657ED8" w14:textId="77777777" w:rsidR="00123E39" w:rsidRDefault="00123E39" w:rsidP="00123E39">
      <w:pPr>
        <w:spacing w:after="0" w:line="276" w:lineRule="auto"/>
        <w:ind w:left="-5"/>
      </w:pPr>
    </w:p>
    <w:p w14:paraId="13BFECB4" w14:textId="0D95D71E" w:rsidR="00123E39" w:rsidRDefault="00123E39" w:rsidP="00123E39">
      <w:pPr>
        <w:spacing w:after="0" w:line="276" w:lineRule="auto"/>
        <w:ind w:left="-5"/>
      </w:pPr>
      <w:r>
        <w:t>Method of</w:t>
      </w:r>
      <w:r w:rsidRPr="00482216">
        <w:t xml:space="preserve"> controlling compliance with </w:t>
      </w:r>
      <w:r>
        <w:t>work</w:t>
      </w:r>
      <w:r w:rsidRPr="00482216">
        <w:t xml:space="preserve"> safety </w:t>
      </w:r>
      <w:proofErr w:type="gramStart"/>
      <w:r w:rsidRPr="00482216">
        <w:t>re</w:t>
      </w:r>
      <w:r>
        <w:t>quirements :</w:t>
      </w:r>
      <w:proofErr w:type="gramEnd"/>
      <w:r>
        <w:t xml:space="preserve"> every </w:t>
      </w:r>
      <w:r w:rsidR="00603ED2">
        <w:t>year</w:t>
      </w:r>
      <w:r>
        <w:t xml:space="preserve">  are checked 0,8√SUPPLY = CHECK , where</w:t>
      </w:r>
    </w:p>
    <w:p w14:paraId="44E86CC3" w14:textId="77777777" w:rsidR="00123E39" w:rsidRDefault="00123E39" w:rsidP="00123E39">
      <w:pPr>
        <w:spacing w:after="0" w:line="276" w:lineRule="auto"/>
        <w:ind w:left="-5"/>
      </w:pPr>
    </w:p>
    <w:p w14:paraId="23A15799" w14:textId="64CEDD71" w:rsidR="00123E39" w:rsidRDefault="00123E39" w:rsidP="00123E39">
      <w:pPr>
        <w:spacing w:after="0" w:line="276" w:lineRule="auto"/>
        <w:ind w:left="-5"/>
      </w:pPr>
      <w:r>
        <w:t xml:space="preserve">CHECK – number of verified </w:t>
      </w:r>
      <w:proofErr w:type="gramStart"/>
      <w:r>
        <w:t>supplier</w:t>
      </w:r>
      <w:proofErr w:type="gramEnd"/>
    </w:p>
    <w:p w14:paraId="7FAA4B7D" w14:textId="3F3ADA51" w:rsidR="00123E39" w:rsidRDefault="00123E39" w:rsidP="00123E39">
      <w:pPr>
        <w:spacing w:after="0" w:line="276" w:lineRule="auto"/>
        <w:ind w:left="-5"/>
      </w:pPr>
      <w:r>
        <w:t xml:space="preserve">SUPPLY – number of suppliers in last </w:t>
      </w:r>
      <w:r w:rsidR="00603ED2">
        <w:t>year</w:t>
      </w:r>
    </w:p>
    <w:p w14:paraId="431F027B" w14:textId="77777777" w:rsidR="00123E39" w:rsidRDefault="00123E39" w:rsidP="00123E39">
      <w:pPr>
        <w:spacing w:after="0" w:line="276" w:lineRule="auto"/>
        <w:ind w:left="-5"/>
      </w:pPr>
    </w:p>
    <w:p w14:paraId="17AEFD21" w14:textId="1670D000" w:rsidR="00123E39" w:rsidRDefault="00123E39" w:rsidP="00123E39">
      <w:pPr>
        <w:spacing w:after="0" w:line="276" w:lineRule="auto"/>
        <w:ind w:left="-5"/>
      </w:pPr>
      <w:r>
        <w:t xml:space="preserve">Selection of the territory to be checked and the suppliers is performed in such way that to cover the supply regions and the different logging </w:t>
      </w:r>
      <w:proofErr w:type="gramStart"/>
      <w:r>
        <w:t>companies</w:t>
      </w:r>
      <w:proofErr w:type="gramEnd"/>
      <w:r>
        <w:t xml:space="preserve"> subcontractors.</w:t>
      </w:r>
    </w:p>
    <w:p w14:paraId="2F31A9AA" w14:textId="77777777" w:rsidR="00123E39" w:rsidRDefault="00123E39" w:rsidP="00123E39">
      <w:pPr>
        <w:spacing w:after="0" w:line="276" w:lineRule="auto"/>
        <w:ind w:left="-5"/>
      </w:pPr>
    </w:p>
    <w:p w14:paraId="1F46ADF6" w14:textId="4BBD9C66" w:rsidR="00123E39" w:rsidRDefault="00B54978" w:rsidP="00123E39">
      <w:pPr>
        <w:spacing w:after="0" w:line="276" w:lineRule="auto"/>
        <w:ind w:left="-5"/>
      </w:pPr>
      <w:r>
        <w:t>5</w:t>
      </w:r>
      <w:r w:rsidR="00C5101B" w:rsidRPr="00C5101B">
        <w:t xml:space="preserve"> work safety inspections were carried out in the forest. There are no significant unconformity and </w:t>
      </w:r>
      <w:r w:rsidR="00C5101B">
        <w:t>no comments.</w:t>
      </w:r>
    </w:p>
    <w:p w14:paraId="39E2DD28" w14:textId="275934F1" w:rsidR="00C5101B" w:rsidRDefault="00B54978" w:rsidP="00123E39">
      <w:pPr>
        <w:spacing w:after="0" w:line="276" w:lineRule="auto"/>
        <w:ind w:left="-5"/>
      </w:pPr>
      <w:r>
        <w:t>206</w:t>
      </w:r>
      <w:r w:rsidR="00C5101B" w:rsidRPr="00C5101B">
        <w:t xml:space="preserve"> forest inspections were carried out on </w:t>
      </w:r>
      <w:r w:rsidR="00C5101B">
        <w:t xml:space="preserve">biologically valuable forest </w:t>
      </w:r>
      <w:proofErr w:type="gramStart"/>
      <w:r w:rsidR="00C5101B">
        <w:t>stands .</w:t>
      </w:r>
      <w:proofErr w:type="gramEnd"/>
    </w:p>
    <w:p w14:paraId="0AD5D73B" w14:textId="77777777" w:rsidR="00123E39" w:rsidRPr="00123E39" w:rsidRDefault="00123E39" w:rsidP="00123E39"/>
    <w:p w14:paraId="36B5EF14" w14:textId="7ABDA42D" w:rsidR="00187F41" w:rsidRDefault="00187F41" w:rsidP="00187F41">
      <w:pPr>
        <w:pStyle w:val="Virsraksts2"/>
      </w:pPr>
      <w:bookmarkStart w:id="36" w:name="_Toc412646215"/>
      <w:bookmarkStart w:id="37" w:name="_Toc454366473"/>
      <w:r>
        <w:t>Conclusions from the Supplier Verification Programme</w:t>
      </w:r>
      <w:bookmarkEnd w:id="36"/>
      <w:bookmarkEnd w:id="37"/>
    </w:p>
    <w:p w14:paraId="5D27B3C8" w14:textId="77777777" w:rsidR="00123E39" w:rsidRPr="00296F00" w:rsidRDefault="00123E39" w:rsidP="00123E39">
      <w:pPr>
        <w:spacing w:after="0" w:line="276" w:lineRule="auto"/>
        <w:ind w:left="-5"/>
        <w:rPr>
          <w:b/>
        </w:rPr>
      </w:pPr>
      <w:r w:rsidRPr="00296F00">
        <w:rPr>
          <w:b/>
        </w:rPr>
        <w:t>Work protection and work safety risk monitoring programme</w:t>
      </w:r>
    </w:p>
    <w:p w14:paraId="5728DA2B" w14:textId="77777777" w:rsidR="00123E39" w:rsidRDefault="00123E39" w:rsidP="00123E39">
      <w:pPr>
        <w:spacing w:after="0" w:line="276" w:lineRule="auto"/>
        <w:ind w:left="-5"/>
      </w:pPr>
    </w:p>
    <w:p w14:paraId="55468DA5" w14:textId="2F66310A" w:rsidR="00123E39" w:rsidRDefault="00123E39" w:rsidP="00123E39">
      <w:pPr>
        <w:spacing w:after="0" w:line="276" w:lineRule="auto"/>
        <w:ind w:left="-5"/>
      </w:pPr>
      <w:r>
        <w:t xml:space="preserve">The inspections will be pre-planned and coordinate with suppliers. The inspections areas and suppliers are selected so that supply regions and a variety of wood harvesting companies are maximally covered. Records and observations are made for each </w:t>
      </w:r>
      <w:proofErr w:type="spellStart"/>
      <w:r>
        <w:t>suppl</w:t>
      </w:r>
      <w:r w:rsidR="00C5101B">
        <w:t>e</w:t>
      </w:r>
      <w:r>
        <w:t>ir</w:t>
      </w:r>
      <w:proofErr w:type="spellEnd"/>
      <w:r>
        <w:t xml:space="preserve"> inspection.</w:t>
      </w:r>
    </w:p>
    <w:p w14:paraId="0EB4CD9C" w14:textId="77777777" w:rsidR="00123E39" w:rsidRDefault="00123E39" w:rsidP="00123E39">
      <w:pPr>
        <w:spacing w:after="0" w:line="276" w:lineRule="auto"/>
        <w:ind w:left="-5"/>
      </w:pPr>
    </w:p>
    <w:p w14:paraId="494084E8" w14:textId="77777777" w:rsidR="00123E39" w:rsidRDefault="00123E39" w:rsidP="00123E39">
      <w:pPr>
        <w:spacing w:after="0" w:line="276" w:lineRule="auto"/>
        <w:ind w:left="-5"/>
      </w:pPr>
      <w:r>
        <w:t>Work protection and work safety risks related to logging can be divided into two categories:</w:t>
      </w:r>
    </w:p>
    <w:p w14:paraId="4B378AB4" w14:textId="77777777" w:rsidR="00123E39" w:rsidRDefault="00123E39" w:rsidP="00123E39">
      <w:pPr>
        <w:pStyle w:val="Sarakstarindkopa"/>
        <w:numPr>
          <w:ilvl w:val="0"/>
          <w:numId w:val="22"/>
        </w:numPr>
        <w:spacing w:after="0" w:line="276" w:lineRule="auto"/>
      </w:pPr>
      <w:r>
        <w:t>Logging with mechanized multi-operational harvesting machines (harvesters) maximally minimizes risks related to work protection and work safety;</w:t>
      </w:r>
    </w:p>
    <w:p w14:paraId="2CD0EDBD" w14:textId="77777777" w:rsidR="00123E39" w:rsidRDefault="00123E39" w:rsidP="00123E39">
      <w:pPr>
        <w:pStyle w:val="Sarakstarindkopa"/>
        <w:numPr>
          <w:ilvl w:val="0"/>
          <w:numId w:val="22"/>
        </w:numPr>
        <w:spacing w:after="0" w:line="276" w:lineRule="auto"/>
      </w:pPr>
      <w:r>
        <w:t xml:space="preserve">A higher work safety and work protection risk was found where logging was performed using hand chainsaws. Suppliers must </w:t>
      </w:r>
      <w:proofErr w:type="gramStart"/>
      <w:r>
        <w:t>respected</w:t>
      </w:r>
      <w:proofErr w:type="gramEnd"/>
      <w:r>
        <w:t xml:space="preserve"> requirements specified in regulations legislation.</w:t>
      </w:r>
    </w:p>
    <w:p w14:paraId="663D3709" w14:textId="7E742246" w:rsidR="00123E39" w:rsidRDefault="00123E39" w:rsidP="00123E39">
      <w:pPr>
        <w:spacing w:after="0" w:line="276" w:lineRule="auto"/>
        <w:ind w:left="-5"/>
      </w:pPr>
    </w:p>
    <w:p w14:paraId="4853C8DF" w14:textId="74887D23" w:rsidR="00C5101B" w:rsidRDefault="004B3545" w:rsidP="00123E39">
      <w:pPr>
        <w:spacing w:after="0" w:line="276" w:lineRule="auto"/>
        <w:ind w:left="-5"/>
      </w:pPr>
      <w:r>
        <w:t>Work protection and safety inspections in f</w:t>
      </w:r>
      <w:r w:rsidR="00C5101B" w:rsidRPr="00C5101B">
        <w:t xml:space="preserve">orest confirmed that the </w:t>
      </w:r>
      <w:r>
        <w:t>main</w:t>
      </w:r>
      <w:r w:rsidR="00C5101B" w:rsidRPr="00C5101B">
        <w:t xml:space="preserve"> requirements were met</w:t>
      </w:r>
      <w:r>
        <w:t xml:space="preserve"> – logging companies </w:t>
      </w:r>
      <w:r w:rsidRPr="004B3545">
        <w:t xml:space="preserve">have appropriate documentation, personal </w:t>
      </w:r>
      <w:r>
        <w:t>safety</w:t>
      </w:r>
      <w:r w:rsidRPr="004B3545">
        <w:t xml:space="preserve"> equipment, first aid kits, fire extinguishers, environmental packs.</w:t>
      </w:r>
    </w:p>
    <w:p w14:paraId="358FB85A" w14:textId="77777777" w:rsidR="00C5101B" w:rsidRDefault="00C5101B" w:rsidP="00123E39">
      <w:pPr>
        <w:spacing w:after="0" w:line="276" w:lineRule="auto"/>
        <w:ind w:left="-5"/>
      </w:pPr>
    </w:p>
    <w:p w14:paraId="55754A21" w14:textId="77777777" w:rsidR="00123E39" w:rsidRPr="002D6974" w:rsidRDefault="00123E39" w:rsidP="00123E39">
      <w:pPr>
        <w:spacing w:after="0" w:line="276" w:lineRule="auto"/>
        <w:ind w:left="-5"/>
        <w:rPr>
          <w:b/>
        </w:rPr>
      </w:pPr>
      <w:r w:rsidRPr="002D6974">
        <w:rPr>
          <w:b/>
        </w:rPr>
        <w:t>Identification and protection of biotopes – monitoring risk programme</w:t>
      </w:r>
    </w:p>
    <w:p w14:paraId="0FA9C97B" w14:textId="77777777" w:rsidR="00123E39" w:rsidRDefault="00123E39" w:rsidP="00123E39">
      <w:pPr>
        <w:spacing w:after="0" w:line="276" w:lineRule="auto"/>
        <w:ind w:left="-5"/>
      </w:pPr>
    </w:p>
    <w:p w14:paraId="7FA31FF6" w14:textId="1F37EF52" w:rsidR="00123E39" w:rsidRDefault="00123E39" w:rsidP="00123E39">
      <w:pPr>
        <w:spacing w:after="0" w:line="276" w:lineRule="auto"/>
        <w:ind w:left="-5"/>
      </w:pPr>
      <w:r>
        <w:t xml:space="preserve">In the framework of the programme, prior to wood acceptance, the supplier`s confirmations will be required that potential possibility of natural forest biotopes was identified in </w:t>
      </w:r>
      <w:hyperlink r:id="rId25" w:history="1">
        <w:r w:rsidRPr="002B2BF4">
          <w:rPr>
            <w:rStyle w:val="Hipersaite"/>
          </w:rPr>
          <w:t>http://latbio.lv/MBI/search.db</w:t>
        </w:r>
      </w:hyperlink>
      <w:r>
        <w:t xml:space="preserve"> </w:t>
      </w:r>
      <w:r w:rsidR="00FC432C">
        <w:t xml:space="preserve">and </w:t>
      </w:r>
      <w:hyperlink r:id="rId26" w:history="1">
        <w:r w:rsidR="00FC432C">
          <w:rPr>
            <w:rStyle w:val="Hipersaite"/>
          </w:rPr>
          <w:t>https://www.daba.gov.lv/public/lat/dati1/dabas_datu_parvaldibas_sistema_ozols/</w:t>
        </w:r>
      </w:hyperlink>
      <w:r>
        <w:t>.</w:t>
      </w:r>
    </w:p>
    <w:p w14:paraId="300E2DFC" w14:textId="77777777" w:rsidR="00123E39" w:rsidRDefault="00123E39" w:rsidP="00123E39">
      <w:pPr>
        <w:spacing w:after="0" w:line="276" w:lineRule="auto"/>
        <w:ind w:left="-5"/>
      </w:pPr>
    </w:p>
    <w:p w14:paraId="2B06DBB7" w14:textId="77777777" w:rsidR="00123E39" w:rsidRDefault="00123E39" w:rsidP="00123E39">
      <w:pPr>
        <w:spacing w:after="0" w:line="276" w:lineRule="auto"/>
      </w:pPr>
      <w:r>
        <w:t>The suppliers have an understanding of the biotope evaluation mechanism. In the cutting sites are respected nature protection requirements – preserve dead wood, ecological trees, large bird nests.</w:t>
      </w:r>
    </w:p>
    <w:p w14:paraId="4127B3AD" w14:textId="77777777" w:rsidR="00123E39" w:rsidRDefault="00123E39" w:rsidP="00123E39">
      <w:pPr>
        <w:spacing w:after="0" w:line="276" w:lineRule="auto"/>
      </w:pPr>
    </w:p>
    <w:p w14:paraId="58504A62" w14:textId="5164BA23" w:rsidR="00123E39" w:rsidRDefault="00123E39" w:rsidP="004B3545">
      <w:pPr>
        <w:spacing w:after="0" w:line="276" w:lineRule="auto"/>
      </w:pPr>
      <w:r>
        <w:t xml:space="preserve">On overgrown agricultural lands the </w:t>
      </w:r>
      <w:proofErr w:type="spellStart"/>
      <w:r>
        <w:t>apportunity</w:t>
      </w:r>
      <w:proofErr w:type="spellEnd"/>
      <w:r>
        <w:t xml:space="preserve"> of a </w:t>
      </w:r>
      <w:proofErr w:type="gramStart"/>
      <w:r>
        <w:t>protected biotopes</w:t>
      </w:r>
      <w:proofErr w:type="gramEnd"/>
      <w:r>
        <w:t xml:space="preserve"> is rated as low.</w:t>
      </w:r>
    </w:p>
    <w:p w14:paraId="4C328CB9" w14:textId="4A4D756A" w:rsidR="004B3545" w:rsidRDefault="004B3545" w:rsidP="004B3545">
      <w:pPr>
        <w:spacing w:after="0" w:line="276" w:lineRule="auto"/>
        <w:ind w:left="-5"/>
      </w:pPr>
      <w:r w:rsidRPr="00C5101B">
        <w:lastRenderedPageBreak/>
        <w:t xml:space="preserve">206 forest inspections were carried out on </w:t>
      </w:r>
      <w:r>
        <w:t xml:space="preserve">biologically valuable forest </w:t>
      </w:r>
      <w:proofErr w:type="gramStart"/>
      <w:r>
        <w:t>stands .</w:t>
      </w:r>
      <w:proofErr w:type="gramEnd"/>
    </w:p>
    <w:p w14:paraId="2045BDAA" w14:textId="5FFAB6BA" w:rsidR="004B3545" w:rsidRDefault="004B3545" w:rsidP="002E5EBA">
      <w:pPr>
        <w:spacing w:after="0" w:line="276" w:lineRule="auto"/>
        <w:ind w:left="-5"/>
      </w:pPr>
      <w:r>
        <w:t>Woodland Key Habitats</w:t>
      </w:r>
      <w:r w:rsidRPr="004B3545">
        <w:t xml:space="preserve"> were found in 9% of cases.</w:t>
      </w:r>
    </w:p>
    <w:p w14:paraId="0171303E" w14:textId="24B21C77" w:rsidR="004B3545" w:rsidRPr="00123E39" w:rsidRDefault="002E5EBA" w:rsidP="004B3545">
      <w:pPr>
        <w:spacing w:after="0" w:line="276" w:lineRule="auto"/>
      </w:pPr>
      <w:r>
        <w:rPr>
          <w:noProof/>
        </w:rPr>
        <w:drawing>
          <wp:inline distT="0" distB="0" distL="0" distR="0" wp14:anchorId="4004602E" wp14:editId="2B8B6364">
            <wp:extent cx="6120130" cy="3982085"/>
            <wp:effectExtent l="0" t="0" r="13970" b="18415"/>
            <wp:docPr id="7" name="Diagramma 7">
              <a:extLst xmlns:a="http://schemas.openxmlformats.org/drawingml/2006/main">
                <a:ext uri="{FF2B5EF4-FFF2-40B4-BE49-F238E27FC236}">
                  <a16:creationId xmlns:a16="http://schemas.microsoft.com/office/drawing/2014/main" id="{395FFFC2-01A2-4053-AEC2-4891F94F43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bookmarkStart w:id="38" w:name="_GoBack"/>
      <w:r w:rsidR="004B3545">
        <w:rPr>
          <w:noProof/>
        </w:rPr>
        <w:drawing>
          <wp:inline distT="0" distB="0" distL="0" distR="0" wp14:anchorId="76FF512D" wp14:editId="2529D889">
            <wp:extent cx="6120130" cy="3996055"/>
            <wp:effectExtent l="0" t="0" r="13970" b="4445"/>
            <wp:docPr id="2" name="Chart 2">
              <a:extLst xmlns:a="http://schemas.openxmlformats.org/drawingml/2006/main">
                <a:ext uri="{FF2B5EF4-FFF2-40B4-BE49-F238E27FC236}">
                  <a16:creationId xmlns:a16="http://schemas.microsoft.com/office/drawing/2014/main" id="{EA192D2C-63C5-4CD4-9C5C-2EA351A95E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bookmarkEnd w:id="38"/>
    </w:p>
    <w:p w14:paraId="5EB0D7DF" w14:textId="77777777" w:rsidR="00187F41" w:rsidRDefault="00187F41" w:rsidP="00187F41">
      <w:pPr>
        <w:pStyle w:val="Virsraksts1"/>
      </w:pPr>
      <w:bookmarkStart w:id="39" w:name="_Toc412646216"/>
      <w:bookmarkStart w:id="40" w:name="_Toc454366474"/>
      <w:r>
        <w:lastRenderedPageBreak/>
        <w:t>Mitigation Measures</w:t>
      </w:r>
      <w:bookmarkEnd w:id="39"/>
      <w:bookmarkEnd w:id="40"/>
    </w:p>
    <w:p w14:paraId="415668D8" w14:textId="10DEAF0B" w:rsidR="00187F41" w:rsidRDefault="00187F41" w:rsidP="00187F41">
      <w:pPr>
        <w:pStyle w:val="Virsraksts2"/>
      </w:pPr>
      <w:bookmarkStart w:id="41" w:name="_Toc412646217"/>
      <w:bookmarkStart w:id="42" w:name="_Toc454366475"/>
      <w:r>
        <w:t>Mitigation measures</w:t>
      </w:r>
      <w:bookmarkEnd w:id="41"/>
      <w:bookmarkEnd w:id="42"/>
    </w:p>
    <w:p w14:paraId="5DD63AC1" w14:textId="77777777" w:rsidR="00FC432C" w:rsidRDefault="00FC432C" w:rsidP="00FC432C">
      <w:pPr>
        <w:spacing w:after="0" w:line="276" w:lineRule="auto"/>
      </w:pPr>
      <w:bookmarkStart w:id="43" w:name="_Hlk527643227"/>
      <w:r>
        <w:t>Risk mitigation measures are related to the following biomass supply risk categories:</w:t>
      </w:r>
    </w:p>
    <w:p w14:paraId="7E98DBD8" w14:textId="77777777" w:rsidR="00FC432C" w:rsidRDefault="00FC432C" w:rsidP="00FC432C">
      <w:pPr>
        <w:pStyle w:val="Sarakstarindkopa"/>
        <w:numPr>
          <w:ilvl w:val="0"/>
          <w:numId w:val="23"/>
        </w:numPr>
        <w:spacing w:after="0" w:line="276" w:lineRule="auto"/>
      </w:pPr>
      <w:r>
        <w:t>Identification of the signs of forest biotopes and natural forest biotopes of European significance,</w:t>
      </w:r>
    </w:p>
    <w:p w14:paraId="4936F696" w14:textId="77777777" w:rsidR="00FC432C" w:rsidRDefault="00FC432C" w:rsidP="00FC432C">
      <w:pPr>
        <w:pStyle w:val="Sarakstarindkopa"/>
        <w:numPr>
          <w:ilvl w:val="0"/>
          <w:numId w:val="23"/>
        </w:numPr>
        <w:spacing w:after="0" w:line="276" w:lineRule="auto"/>
      </w:pPr>
      <w:r>
        <w:t>Protection of identified forest biotopes and natural forest biotopes of European significance,</w:t>
      </w:r>
    </w:p>
    <w:p w14:paraId="5C9EC1EA" w14:textId="77777777" w:rsidR="00FC432C" w:rsidRDefault="00FC432C" w:rsidP="00FC432C">
      <w:pPr>
        <w:pStyle w:val="Sarakstarindkopa"/>
        <w:numPr>
          <w:ilvl w:val="0"/>
          <w:numId w:val="23"/>
        </w:numPr>
        <w:spacing w:after="0" w:line="276" w:lineRule="auto"/>
      </w:pPr>
      <w:r>
        <w:t>Mitigation of work protection and work safety risks.</w:t>
      </w:r>
    </w:p>
    <w:p w14:paraId="51821DA6" w14:textId="77777777" w:rsidR="00FC432C" w:rsidRDefault="00FC432C" w:rsidP="00FC432C">
      <w:pPr>
        <w:spacing w:after="0" w:line="276" w:lineRule="auto"/>
      </w:pPr>
    </w:p>
    <w:p w14:paraId="07B85BE0" w14:textId="77777777" w:rsidR="00FC432C" w:rsidRDefault="00FC432C" w:rsidP="00FC432C">
      <w:pPr>
        <w:spacing w:after="0" w:line="276" w:lineRule="auto"/>
      </w:pPr>
      <w:r>
        <w:t>The inspections process:</w:t>
      </w:r>
    </w:p>
    <w:p w14:paraId="46A94970" w14:textId="77777777" w:rsidR="00FC432C" w:rsidRDefault="00FC432C" w:rsidP="00FC432C">
      <w:pPr>
        <w:pStyle w:val="Sarakstarindkopa"/>
        <w:numPr>
          <w:ilvl w:val="0"/>
          <w:numId w:val="24"/>
        </w:numPr>
        <w:spacing w:after="0" w:line="276" w:lineRule="auto"/>
      </w:pPr>
      <w:r>
        <w:t>Inspections are performed selectively for suppliers who supply SBP compliant feedstock,</w:t>
      </w:r>
    </w:p>
    <w:p w14:paraId="677315D7" w14:textId="77777777" w:rsidR="00FC432C" w:rsidRDefault="00FC432C" w:rsidP="00FC432C">
      <w:pPr>
        <w:pStyle w:val="Sarakstarindkopa"/>
        <w:numPr>
          <w:ilvl w:val="0"/>
          <w:numId w:val="24"/>
        </w:numPr>
        <w:spacing w:after="0" w:line="276" w:lineRule="auto"/>
      </w:pPr>
      <w:r>
        <w:t>After supplier evaluation, a decision is taken on further wood supply. The suppliers that refuse to cooperate with SIA PATA in compliance of the SBP requirements may be excluded from the list of suppliers.</w:t>
      </w:r>
    </w:p>
    <w:p w14:paraId="4519D63C" w14:textId="77777777" w:rsidR="00FC432C" w:rsidRDefault="00FC432C" w:rsidP="00FC432C">
      <w:pPr>
        <w:rPr>
          <w:rFonts w:ascii="Calibri" w:hAnsi="Calibri" w:cs="Calibri"/>
        </w:rPr>
      </w:pPr>
      <w:r>
        <w:t>PATA has developed risk mitigation measures:</w:t>
      </w:r>
    </w:p>
    <w:p w14:paraId="0B3CA2AD" w14:textId="77777777" w:rsidR="00FC432C" w:rsidRDefault="00FC432C" w:rsidP="00FC432C">
      <w:pPr>
        <w:numPr>
          <w:ilvl w:val="0"/>
          <w:numId w:val="26"/>
        </w:numPr>
        <w:spacing w:after="0" w:line="240" w:lineRule="auto"/>
        <w:rPr>
          <w:rFonts w:eastAsia="Times New Roman"/>
        </w:rPr>
      </w:pPr>
      <w:r>
        <w:rPr>
          <w:rFonts w:eastAsia="Times New Roman"/>
        </w:rPr>
        <w:t xml:space="preserve">Cutting licence and documents for full chain of custody per each cutting </w:t>
      </w:r>
      <w:proofErr w:type="gramStart"/>
      <w:r>
        <w:rPr>
          <w:rFonts w:eastAsia="Times New Roman"/>
        </w:rPr>
        <w:t>sites</w:t>
      </w:r>
      <w:proofErr w:type="gramEnd"/>
    </w:p>
    <w:p w14:paraId="30398963" w14:textId="02402CC8" w:rsidR="00FC432C" w:rsidRDefault="00FC432C" w:rsidP="00FC432C">
      <w:pPr>
        <w:numPr>
          <w:ilvl w:val="0"/>
          <w:numId w:val="26"/>
        </w:numPr>
        <w:spacing w:after="0" w:line="240" w:lineRule="auto"/>
        <w:rPr>
          <w:rFonts w:eastAsia="Times New Roman"/>
        </w:rPr>
      </w:pPr>
      <w:r>
        <w:rPr>
          <w:rFonts w:eastAsia="Times New Roman"/>
        </w:rPr>
        <w:t>Checking for WKH (woodland key habitant) in OZOLS and LATBIO data bases</w:t>
      </w:r>
    </w:p>
    <w:p w14:paraId="2A5859D5" w14:textId="77777777" w:rsidR="00FC432C" w:rsidRDefault="00FC432C" w:rsidP="00FC432C">
      <w:pPr>
        <w:numPr>
          <w:ilvl w:val="0"/>
          <w:numId w:val="26"/>
        </w:numPr>
        <w:spacing w:after="0" w:line="240" w:lineRule="auto"/>
        <w:rPr>
          <w:rFonts w:eastAsia="Times New Roman"/>
        </w:rPr>
      </w:pPr>
      <w:r>
        <w:rPr>
          <w:rFonts w:eastAsia="Times New Roman"/>
        </w:rPr>
        <w:t>Supplier affirmation not to supply wood from HCV and complied to health and safety requirements</w:t>
      </w:r>
    </w:p>
    <w:p w14:paraId="1A7B0311" w14:textId="77777777" w:rsidR="00FC432C" w:rsidRDefault="00FC432C" w:rsidP="00FC432C">
      <w:pPr>
        <w:numPr>
          <w:ilvl w:val="0"/>
          <w:numId w:val="26"/>
        </w:numPr>
        <w:spacing w:after="0" w:line="240" w:lineRule="auto"/>
        <w:rPr>
          <w:rFonts w:eastAsia="Times New Roman"/>
        </w:rPr>
      </w:pPr>
      <w:r>
        <w:rPr>
          <w:rFonts w:eastAsia="Times New Roman"/>
        </w:rPr>
        <w:t>Field audit are made used random selection techniques – PATA field audit sampling methodology – 0,8 sqrt FMU</w:t>
      </w:r>
    </w:p>
    <w:p w14:paraId="7C316FF9" w14:textId="77777777" w:rsidR="00FC432C" w:rsidRDefault="00FC432C" w:rsidP="00FC432C">
      <w:pPr>
        <w:numPr>
          <w:ilvl w:val="0"/>
          <w:numId w:val="26"/>
        </w:numPr>
        <w:spacing w:after="0" w:line="240" w:lineRule="auto"/>
        <w:rPr>
          <w:rFonts w:eastAsia="Times New Roman"/>
        </w:rPr>
      </w:pPr>
      <w:r>
        <w:rPr>
          <w:rFonts w:eastAsia="Times New Roman"/>
        </w:rPr>
        <w:t>On site audit of supplier and decision include supplier in “approved suppliers list”</w:t>
      </w:r>
    </w:p>
    <w:p w14:paraId="54C64817" w14:textId="77777777" w:rsidR="00BC3042" w:rsidRDefault="00BC3042" w:rsidP="00FC432C">
      <w:pPr>
        <w:spacing w:after="0" w:line="276" w:lineRule="auto"/>
      </w:pPr>
    </w:p>
    <w:p w14:paraId="0FA1AAA2" w14:textId="629682D0" w:rsidR="00FC432C" w:rsidRDefault="00FC432C" w:rsidP="00FC432C">
      <w:pPr>
        <w:spacing w:after="0" w:line="276" w:lineRule="auto"/>
      </w:pPr>
      <w:r w:rsidRPr="00C20F35">
        <w:t xml:space="preserve">PATA has </w:t>
      </w:r>
      <w:r>
        <w:t xml:space="preserve">made </w:t>
      </w:r>
      <w:r w:rsidRPr="00C20F35">
        <w:t xml:space="preserve">field </w:t>
      </w:r>
      <w:r>
        <w:t>verification</w:t>
      </w:r>
      <w:r w:rsidRPr="00C20F35">
        <w:t xml:space="preserve"> in </w:t>
      </w:r>
      <w:r w:rsidR="00BC3042">
        <w:t>9</w:t>
      </w:r>
      <w:r w:rsidRPr="00C20F35">
        <w:t xml:space="preserve"> </w:t>
      </w:r>
      <w:r w:rsidRPr="00BC3042">
        <w:t>private forest properties. I</w:t>
      </w:r>
      <w:r w:rsidRPr="00973219">
        <w:t xml:space="preserve">nitially, the availability of documents was checked </w:t>
      </w:r>
      <w:r>
        <w:t>–</w:t>
      </w:r>
      <w:r w:rsidRPr="00973219">
        <w:t xml:space="preserve"> </w:t>
      </w:r>
      <w:r>
        <w:t>cutting licences</w:t>
      </w:r>
      <w:r w:rsidRPr="00973219">
        <w:t xml:space="preserve"> and purchase agreements, printouts from the LATBIO database.</w:t>
      </w:r>
      <w:r>
        <w:t xml:space="preserve"> In the felling area</w:t>
      </w:r>
      <w:r w:rsidRPr="00973219">
        <w:t xml:space="preserve"> in the forest, the compliance of the completed </w:t>
      </w:r>
      <w:r>
        <w:t>WKH questionnaires</w:t>
      </w:r>
      <w:r w:rsidRPr="00973219">
        <w:t xml:space="preserve"> with the nature</w:t>
      </w:r>
      <w:r>
        <w:t xml:space="preserve">, conservation </w:t>
      </w:r>
      <w:r w:rsidRPr="00973219">
        <w:t>of the ecological values.</w:t>
      </w:r>
      <w:r>
        <w:t xml:space="preserve"> For h</w:t>
      </w:r>
      <w:r w:rsidRPr="00F404B7">
        <w:t>arvester and forwarder operators, chainsaws</w:t>
      </w:r>
      <w:r>
        <w:t xml:space="preserve"> operators was checked work</w:t>
      </w:r>
      <w:r w:rsidRPr="00F404B7">
        <w:t xml:space="preserve"> safety equipment</w:t>
      </w:r>
      <w:r>
        <w:t xml:space="preserve"> </w:t>
      </w:r>
      <w:proofErr w:type="gramStart"/>
      <w:r>
        <w:t xml:space="preserve">- </w:t>
      </w:r>
      <w:r w:rsidRPr="00F404B7">
        <w:t xml:space="preserve"> </w:t>
      </w:r>
      <w:r>
        <w:t>the</w:t>
      </w:r>
      <w:proofErr w:type="gramEnd"/>
      <w:r>
        <w:t xml:space="preserve"> availability of </w:t>
      </w:r>
      <w:r w:rsidRPr="00F404B7">
        <w:t xml:space="preserve">security </w:t>
      </w:r>
      <w:r>
        <w:t>vests</w:t>
      </w:r>
      <w:r w:rsidRPr="00F404B7">
        <w:t>, helmets, first-aid kit, fire extinguisher, bonus kit.</w:t>
      </w:r>
      <w:r>
        <w:t xml:space="preserve">                      No major CARs</w:t>
      </w:r>
      <w:r w:rsidRPr="009A034D">
        <w:t xml:space="preserve"> were found at any of the </w:t>
      </w:r>
      <w:r>
        <w:t xml:space="preserve">checking </w:t>
      </w:r>
      <w:r w:rsidRPr="009A034D">
        <w:t>points</w:t>
      </w:r>
    </w:p>
    <w:p w14:paraId="481BB00A" w14:textId="77777777" w:rsidR="00FC432C" w:rsidRDefault="00FC432C" w:rsidP="00FC432C">
      <w:pPr>
        <w:spacing w:after="0" w:line="276" w:lineRule="auto"/>
      </w:pPr>
    </w:p>
    <w:p w14:paraId="693D4965" w14:textId="77777777" w:rsidR="00FC432C" w:rsidRDefault="00FC432C" w:rsidP="00FC432C">
      <w:pPr>
        <w:spacing w:after="0" w:line="276" w:lineRule="auto"/>
      </w:pPr>
      <w:r>
        <w:t xml:space="preserve">SIA PATA gather opinion of forestry sector experts and specialists and create additional informative </w:t>
      </w:r>
      <w:proofErr w:type="gramStart"/>
      <w:r>
        <w:t>materials  in</w:t>
      </w:r>
      <w:proofErr w:type="gramEnd"/>
      <w:r>
        <w:t xml:space="preserve"> order to better inform suppliers with SBP-compliant feedstock supply conditions and potential risks, thus reducing delivery risks of feedstock that is not compliant with SBP </w:t>
      </w:r>
      <w:proofErr w:type="spellStart"/>
      <w:r>
        <w:t>standarts</w:t>
      </w:r>
      <w:proofErr w:type="spellEnd"/>
      <w:r>
        <w:t>.</w:t>
      </w:r>
    </w:p>
    <w:p w14:paraId="6F3598C1" w14:textId="77777777" w:rsidR="00FC432C" w:rsidRDefault="00FC432C" w:rsidP="00FC432C">
      <w:pPr>
        <w:spacing w:after="0" w:line="276" w:lineRule="auto"/>
      </w:pPr>
    </w:p>
    <w:p w14:paraId="763227FC" w14:textId="77777777" w:rsidR="00FC432C" w:rsidRPr="00C6249E" w:rsidRDefault="00FC432C" w:rsidP="00FC432C">
      <w:pPr>
        <w:spacing w:after="0" w:line="276" w:lineRule="auto"/>
        <w:rPr>
          <w:b/>
        </w:rPr>
      </w:pPr>
      <w:r w:rsidRPr="00C6249E">
        <w:rPr>
          <w:b/>
        </w:rPr>
        <w:t xml:space="preserve">General description of risk mitigation </w:t>
      </w:r>
      <w:proofErr w:type="gramStart"/>
      <w:r w:rsidRPr="00C6249E">
        <w:rPr>
          <w:b/>
        </w:rPr>
        <w:t>system :</w:t>
      </w:r>
      <w:proofErr w:type="gramEnd"/>
    </w:p>
    <w:bookmarkEnd w:id="43"/>
    <w:p w14:paraId="7D34E2C2" w14:textId="77777777" w:rsidR="00FC432C" w:rsidRDefault="00FC432C" w:rsidP="00FC432C">
      <w:pPr>
        <w:spacing w:after="0" w:line="276" w:lineRule="auto"/>
      </w:pPr>
    </w:p>
    <w:p w14:paraId="70EC2230" w14:textId="77777777" w:rsidR="00FC432C" w:rsidRDefault="00FC432C" w:rsidP="00FC432C">
      <w:pPr>
        <w:pStyle w:val="Sarakstarindkopa"/>
        <w:numPr>
          <w:ilvl w:val="0"/>
          <w:numId w:val="25"/>
        </w:numPr>
        <w:spacing w:after="0" w:line="276" w:lineRule="auto"/>
      </w:pPr>
      <w:r>
        <w:t>The purchase of PEFC or FSC certified wood as priority for procurement of SBP-compliant biomass (100% PEFC, FSC Mix),</w:t>
      </w:r>
    </w:p>
    <w:p w14:paraId="2DE87311" w14:textId="77777777" w:rsidR="00FC432C" w:rsidRDefault="00FC432C" w:rsidP="00FC432C">
      <w:pPr>
        <w:pStyle w:val="Sarakstarindkopa"/>
        <w:numPr>
          <w:ilvl w:val="0"/>
          <w:numId w:val="25"/>
        </w:numPr>
        <w:spacing w:after="0" w:line="276" w:lineRule="auto"/>
      </w:pPr>
      <w:r>
        <w:t xml:space="preserve">Signing supply contracts and including the conditions of SBP </w:t>
      </w:r>
      <w:proofErr w:type="spellStart"/>
      <w:r>
        <w:t>standarts</w:t>
      </w:r>
      <w:proofErr w:type="spellEnd"/>
      <w:r>
        <w:t xml:space="preserve"> for biomass supply, timely identification and reduction of SBP-noncompliant feedstock supply risks,</w:t>
      </w:r>
    </w:p>
    <w:p w14:paraId="49930EBE" w14:textId="1BFC9162" w:rsidR="00FC432C" w:rsidRDefault="00FC432C" w:rsidP="00FC432C">
      <w:pPr>
        <w:pStyle w:val="Sarakstarindkopa"/>
        <w:numPr>
          <w:ilvl w:val="0"/>
          <w:numId w:val="25"/>
        </w:numPr>
        <w:spacing w:after="0" w:line="276" w:lineRule="auto"/>
      </w:pPr>
      <w:r>
        <w:t xml:space="preserve">Performing biotope risk assessment procedures prior to logging and checking cadastre numbers using the “Biotope Tool” available in LATBIO database </w:t>
      </w:r>
      <w:hyperlink r:id="rId29" w:history="1">
        <w:r w:rsidRPr="002B2BF4">
          <w:rPr>
            <w:rStyle w:val="Hipersaite"/>
          </w:rPr>
          <w:t>http://latbio.lv/MBI/search_db</w:t>
        </w:r>
      </w:hyperlink>
      <w:r>
        <w:t xml:space="preserve"> and </w:t>
      </w:r>
      <w:hyperlink r:id="rId30" w:history="1">
        <w:r>
          <w:rPr>
            <w:rStyle w:val="Hipersaite"/>
          </w:rPr>
          <w:t>https://www.daba.gov.lv/public/lat/dati1/dabas_datu_parvaldibas_sistema_ozols/</w:t>
        </w:r>
      </w:hyperlink>
      <w:r>
        <w:t xml:space="preserve">. An assessment form is designed where </w:t>
      </w:r>
      <w:proofErr w:type="gramStart"/>
      <w:r>
        <w:t>all natural</w:t>
      </w:r>
      <w:proofErr w:type="gramEnd"/>
      <w:r>
        <w:t xml:space="preserve"> forest biotope structures are included.</w:t>
      </w:r>
    </w:p>
    <w:p w14:paraId="29A97860" w14:textId="77777777" w:rsidR="00FC432C" w:rsidRDefault="00FC432C" w:rsidP="00FC432C">
      <w:pPr>
        <w:pStyle w:val="Sarakstarindkopa"/>
        <w:numPr>
          <w:ilvl w:val="0"/>
          <w:numId w:val="25"/>
        </w:numPr>
        <w:spacing w:after="0" w:line="276" w:lineRule="auto"/>
      </w:pPr>
      <w:r>
        <w:t>An assessment form is designed where minimal requirements for maintaining work safety in the forest are included.</w:t>
      </w:r>
    </w:p>
    <w:p w14:paraId="657BBD2F" w14:textId="77777777" w:rsidR="00FC432C" w:rsidRDefault="00FC432C" w:rsidP="00FC432C">
      <w:pPr>
        <w:pStyle w:val="Sarakstarindkopa"/>
        <w:numPr>
          <w:ilvl w:val="0"/>
          <w:numId w:val="25"/>
        </w:numPr>
        <w:spacing w:after="0" w:line="276" w:lineRule="auto"/>
      </w:pPr>
      <w:r>
        <w:lastRenderedPageBreak/>
        <w:t>Additional informative materials are provided for the biomass suppliers. The objective of informative materials is to teach suppliers to recognize the signs of potential possible biotopes and help to provide work safety requirements at their and service provider companies.</w:t>
      </w:r>
    </w:p>
    <w:p w14:paraId="5715AAC2" w14:textId="77777777" w:rsidR="00FC432C" w:rsidRDefault="00FC432C" w:rsidP="00FC432C">
      <w:pPr>
        <w:spacing w:after="0" w:line="276" w:lineRule="auto"/>
      </w:pPr>
    </w:p>
    <w:p w14:paraId="7544C9E3" w14:textId="77777777" w:rsidR="00FC432C" w:rsidRDefault="00FC432C" w:rsidP="00FC432C">
      <w:pPr>
        <w:spacing w:after="0" w:line="276" w:lineRule="auto"/>
      </w:pPr>
      <w:r>
        <w:t>The assessment of the efficiency of risk mitigation measures and results of inspections are available upon request from the interested parties by meeting in person and explaining the mechanism and benefits of general risk mitigation measures, and by promoting further cooperation in the process of identifying risk mitigation.</w:t>
      </w:r>
    </w:p>
    <w:p w14:paraId="49EDEF9E" w14:textId="77777777" w:rsidR="00FC432C" w:rsidRPr="00FC432C" w:rsidRDefault="00FC432C" w:rsidP="00FC432C"/>
    <w:p w14:paraId="5E1163EA" w14:textId="6F5C4CC7" w:rsidR="00187F41" w:rsidRDefault="00187F41" w:rsidP="00187F41">
      <w:pPr>
        <w:pStyle w:val="Virsraksts2"/>
      </w:pPr>
      <w:bookmarkStart w:id="44" w:name="_Toc412646218"/>
      <w:bookmarkStart w:id="45" w:name="_Toc454366476"/>
      <w:r>
        <w:t>Monitoring and outcomes</w:t>
      </w:r>
      <w:bookmarkEnd w:id="44"/>
      <w:bookmarkEnd w:id="45"/>
    </w:p>
    <w:p w14:paraId="1C2BB2C9" w14:textId="77777777" w:rsidR="00FC432C" w:rsidRDefault="00FC432C" w:rsidP="00FC432C">
      <w:pPr>
        <w:spacing w:after="0" w:line="276" w:lineRule="auto"/>
      </w:pPr>
      <w:r>
        <w:t xml:space="preserve">The suppliers that refuse to cooperate with SIA PATA in the identification of the preserve biotopes, protected bird </w:t>
      </w:r>
      <w:proofErr w:type="gramStart"/>
      <w:r>
        <w:t>species,  cultural</w:t>
      </w:r>
      <w:proofErr w:type="gramEnd"/>
      <w:r>
        <w:t xml:space="preserve"> heritage objects and complying with work safety requirements, thus mitigated the risk of supplying SBP non-compliant feedstocks, were not approved for wood supply.</w:t>
      </w:r>
    </w:p>
    <w:p w14:paraId="53768E1A" w14:textId="77777777" w:rsidR="00FC432C" w:rsidRDefault="00FC432C" w:rsidP="00FC432C">
      <w:pPr>
        <w:spacing w:after="0" w:line="276" w:lineRule="auto"/>
      </w:pPr>
    </w:p>
    <w:p w14:paraId="0636676C" w14:textId="4B773D70" w:rsidR="00FC432C" w:rsidRDefault="00FC432C" w:rsidP="00FC432C">
      <w:pPr>
        <w:spacing w:after="0" w:line="276" w:lineRule="auto"/>
      </w:pPr>
      <w:r>
        <w:t>All suppliers are checked in OZOLS and LATBIO databases for existing preserve biotopes, thus provide SBP compliant feedstocks supplies.</w:t>
      </w:r>
    </w:p>
    <w:p w14:paraId="702A43E4" w14:textId="77777777" w:rsidR="00FC432C" w:rsidRDefault="00FC432C" w:rsidP="00FC432C">
      <w:pPr>
        <w:spacing w:after="0" w:line="276" w:lineRule="auto"/>
      </w:pPr>
    </w:p>
    <w:p w14:paraId="207B81BC" w14:textId="77777777" w:rsidR="00FC432C" w:rsidRDefault="00FC432C" w:rsidP="00FC432C">
      <w:pPr>
        <w:spacing w:after="0" w:line="276" w:lineRule="auto"/>
      </w:pPr>
      <w:r>
        <w:t>After SBP risk mitigation inspections, as well as creation of information materials, the supplier and forest owner have developed an understanding of SBE requirements regarding risk categories, their recognition and mitigation mechanism.</w:t>
      </w:r>
    </w:p>
    <w:p w14:paraId="42FA6CC6" w14:textId="1ADD0A63" w:rsidR="00FC432C" w:rsidRDefault="00FC432C" w:rsidP="00FC432C"/>
    <w:p w14:paraId="2CE42C91" w14:textId="09BA3BCA" w:rsidR="00BA4B08" w:rsidRPr="00FC432C" w:rsidRDefault="00BA4B08" w:rsidP="00FC432C">
      <w:r w:rsidRPr="00BA4B08">
        <w:t xml:space="preserve">In 2019, PATA has 4 suppliers of </w:t>
      </w:r>
      <w:r>
        <w:t>feedstocks for production of SBP-compliant biomass.</w:t>
      </w:r>
    </w:p>
    <w:p w14:paraId="2C0E39F5" w14:textId="77777777" w:rsidR="00187F41" w:rsidRDefault="00187F41" w:rsidP="00187F41">
      <w:pPr>
        <w:pStyle w:val="Virsraksts1"/>
      </w:pPr>
      <w:bookmarkStart w:id="46" w:name="_Toc412646219"/>
      <w:bookmarkStart w:id="47" w:name="_Toc454366477"/>
      <w:r>
        <w:lastRenderedPageBreak/>
        <w:t>Detailed Findings for Indicators</w:t>
      </w:r>
      <w:bookmarkEnd w:id="46"/>
      <w:bookmarkEnd w:id="47"/>
    </w:p>
    <w:p w14:paraId="30DB9F1B" w14:textId="77777777" w:rsidR="00B903C4" w:rsidRDefault="00B903C4" w:rsidP="00B903C4">
      <w:pPr>
        <w:ind w:left="-5"/>
      </w:pPr>
      <w:r>
        <w:t xml:space="preserve">Detailed information on each indicator is provided in the risk </w:t>
      </w:r>
      <w:proofErr w:type="gramStart"/>
      <w:r>
        <w:t>assessment .</w:t>
      </w:r>
      <w:proofErr w:type="gramEnd"/>
    </w:p>
    <w:p w14:paraId="74738CF5" w14:textId="77777777" w:rsidR="00B903C4" w:rsidRDefault="00B903C4" w:rsidP="00B903C4">
      <w:pPr>
        <w:ind w:left="-5"/>
      </w:pPr>
      <w:r>
        <w:t xml:space="preserve">Risk assessment is available at </w:t>
      </w:r>
      <w:r w:rsidRPr="008D3FE9">
        <w:rPr>
          <w:u w:val="single"/>
        </w:rPr>
        <w:t>https://sbp-cert.org/documents/risk-assessments</w:t>
      </w:r>
      <w:r>
        <w:t xml:space="preserve"> </w:t>
      </w:r>
    </w:p>
    <w:p w14:paraId="711F9711" w14:textId="77777777" w:rsidR="00187F41" w:rsidRDefault="00187F41" w:rsidP="00187F41">
      <w:pPr>
        <w:spacing w:line="276" w:lineRule="auto"/>
      </w:pPr>
      <w:r>
        <w:br w:type="page"/>
      </w:r>
    </w:p>
    <w:p w14:paraId="63F35F0F" w14:textId="77777777" w:rsidR="00187F41" w:rsidRDefault="00187F41" w:rsidP="00187F41">
      <w:pPr>
        <w:pStyle w:val="Virsraksts1"/>
      </w:pPr>
      <w:bookmarkStart w:id="48" w:name="_Toc412646220"/>
      <w:bookmarkStart w:id="49" w:name="_Toc454366478"/>
      <w:r>
        <w:lastRenderedPageBreak/>
        <w:t>Review of Report</w:t>
      </w:r>
      <w:bookmarkEnd w:id="48"/>
      <w:bookmarkEnd w:id="49"/>
    </w:p>
    <w:p w14:paraId="0A92B445" w14:textId="77777777" w:rsidR="00187F41" w:rsidRDefault="00187F41" w:rsidP="00187F41">
      <w:pPr>
        <w:pStyle w:val="Virsraksts2"/>
      </w:pPr>
      <w:bookmarkStart w:id="50" w:name="_Toc412646221"/>
      <w:bookmarkStart w:id="51" w:name="_Toc454366479"/>
      <w:r>
        <w:t>Peer review</w:t>
      </w:r>
      <w:bookmarkEnd w:id="50"/>
      <w:bookmarkEnd w:id="51"/>
    </w:p>
    <w:p w14:paraId="011F01BE" w14:textId="55278312" w:rsidR="00BC3042" w:rsidRPr="00BC3042" w:rsidRDefault="00BC3042" w:rsidP="00187F41">
      <w:pPr>
        <w:rPr>
          <w:iCs/>
        </w:rPr>
      </w:pPr>
      <w:r w:rsidRPr="00BC3042">
        <w:rPr>
          <w:iCs/>
        </w:rPr>
        <w:t>No external peer review was carried out.</w:t>
      </w:r>
    </w:p>
    <w:p w14:paraId="458E41FD" w14:textId="4DE14A70" w:rsidR="00187F41" w:rsidRDefault="00187F41" w:rsidP="00187F41">
      <w:pPr>
        <w:pStyle w:val="Virsraksts2"/>
      </w:pPr>
      <w:bookmarkStart w:id="52" w:name="_Toc412646222"/>
      <w:bookmarkStart w:id="53" w:name="_Toc454366480"/>
      <w:r>
        <w:t>Public or additional reviews</w:t>
      </w:r>
      <w:bookmarkEnd w:id="52"/>
      <w:bookmarkEnd w:id="53"/>
      <w:r>
        <w:t xml:space="preserve"> </w:t>
      </w:r>
    </w:p>
    <w:p w14:paraId="0B5356C3" w14:textId="77777777" w:rsidR="00B903C4" w:rsidRDefault="00B903C4" w:rsidP="00B903C4">
      <w:pPr>
        <w:ind w:left="-5"/>
      </w:pPr>
      <w:r>
        <w:t>N</w:t>
      </w:r>
      <w:r w:rsidRPr="0052300D">
        <w:t>o additional information for the time being</w:t>
      </w:r>
      <w:r>
        <w:t>.</w:t>
      </w:r>
    </w:p>
    <w:p w14:paraId="56F18A4C" w14:textId="77777777" w:rsidR="00B903C4" w:rsidRPr="00B903C4" w:rsidRDefault="00B903C4" w:rsidP="00B903C4"/>
    <w:p w14:paraId="2634E331" w14:textId="77777777" w:rsidR="00187F41" w:rsidRDefault="00187F41" w:rsidP="00187F41">
      <w:pPr>
        <w:pStyle w:val="Virsraksts1"/>
      </w:pPr>
      <w:bookmarkStart w:id="54" w:name="_Toc412646223"/>
      <w:bookmarkStart w:id="55" w:name="_Toc454366481"/>
      <w:r>
        <w:lastRenderedPageBreak/>
        <w:t>Approval of Report</w:t>
      </w:r>
      <w:bookmarkEnd w:id="54"/>
      <w:bookmarkEnd w:id="55"/>
    </w:p>
    <w:tbl>
      <w:tblPr>
        <w:tblStyle w:val="Reatabula"/>
        <w:tblW w:w="0" w:type="auto"/>
        <w:tblLook w:val="04A0" w:firstRow="1" w:lastRow="0" w:firstColumn="1" w:lastColumn="0" w:noHBand="0" w:noVBand="1"/>
      </w:tblPr>
      <w:tblGrid>
        <w:gridCol w:w="1278"/>
        <w:gridCol w:w="3780"/>
        <w:gridCol w:w="2790"/>
        <w:gridCol w:w="1728"/>
      </w:tblGrid>
      <w:tr w:rsidR="00187F41" w:rsidRPr="00F45D4A" w14:paraId="57857CC5" w14:textId="77777777" w:rsidTr="00E702AA">
        <w:trPr>
          <w:trHeight w:val="647"/>
        </w:trPr>
        <w:tc>
          <w:tcPr>
            <w:tcW w:w="9576" w:type="dxa"/>
            <w:gridSpan w:val="4"/>
            <w:shd w:val="clear" w:color="auto" w:fill="315644" w:themeFill="accent3" w:themeFillShade="80"/>
            <w:vAlign w:val="center"/>
          </w:tcPr>
          <w:p w14:paraId="55FC9FA6" w14:textId="77777777" w:rsidR="00187F41" w:rsidRPr="00F45D4A" w:rsidRDefault="00187F41" w:rsidP="00E702AA">
            <w:pPr>
              <w:spacing w:before="120" w:line="240" w:lineRule="auto"/>
              <w:rPr>
                <w:b/>
                <w:color w:val="FFFFFF" w:themeColor="background1"/>
                <w:lang w:val="en-US"/>
              </w:rPr>
            </w:pPr>
            <w:r w:rsidRPr="00F45D4A">
              <w:rPr>
                <w:b/>
                <w:color w:val="FFFFFF" w:themeColor="background1"/>
                <w:lang w:val="en-US"/>
              </w:rPr>
              <w:t>App</w:t>
            </w:r>
            <w:r>
              <w:rPr>
                <w:b/>
                <w:color w:val="FFFFFF" w:themeColor="background1"/>
                <w:lang w:val="en-US"/>
              </w:rPr>
              <w:t>roval of Supply Base Report by senior m</w:t>
            </w:r>
            <w:r w:rsidRPr="00F45D4A">
              <w:rPr>
                <w:b/>
                <w:color w:val="FFFFFF" w:themeColor="background1"/>
                <w:lang w:val="en-US"/>
              </w:rPr>
              <w:t>anagement</w:t>
            </w:r>
          </w:p>
        </w:tc>
      </w:tr>
      <w:tr w:rsidR="00187F41" w:rsidRPr="00F45D4A" w14:paraId="75FEADB9" w14:textId="77777777" w:rsidTr="00E702AA">
        <w:trPr>
          <w:trHeight w:val="1052"/>
        </w:trPr>
        <w:tc>
          <w:tcPr>
            <w:tcW w:w="1278" w:type="dxa"/>
            <w:vMerge w:val="restart"/>
            <w:shd w:val="clear" w:color="auto" w:fill="A3CAB8" w:themeFill="accent3" w:themeFillTint="99"/>
            <w:vAlign w:val="center"/>
          </w:tcPr>
          <w:p w14:paraId="371066C3" w14:textId="77777777" w:rsidR="00187F41" w:rsidRPr="00F45D4A" w:rsidRDefault="00187F41" w:rsidP="00E702AA">
            <w:pPr>
              <w:spacing w:before="120" w:line="240" w:lineRule="auto"/>
              <w:rPr>
                <w:b/>
                <w:lang w:val="en-US"/>
              </w:rPr>
            </w:pPr>
            <w:r w:rsidRPr="00F45D4A">
              <w:rPr>
                <w:b/>
                <w:lang w:val="en-US"/>
              </w:rPr>
              <w:t>Report Prepared by:</w:t>
            </w:r>
          </w:p>
        </w:tc>
        <w:tc>
          <w:tcPr>
            <w:tcW w:w="3780" w:type="dxa"/>
            <w:shd w:val="clear" w:color="auto" w:fill="auto"/>
            <w:vAlign w:val="center"/>
          </w:tcPr>
          <w:p w14:paraId="0B430E7A" w14:textId="1B099CDC" w:rsidR="00187F41" w:rsidRPr="00F45D4A" w:rsidRDefault="00B903C4" w:rsidP="00E702AA">
            <w:pPr>
              <w:spacing w:before="120" w:line="240" w:lineRule="auto"/>
              <w:rPr>
                <w:b/>
                <w:i/>
                <w:lang w:val="en-US"/>
              </w:rPr>
            </w:pPr>
            <w:r>
              <w:rPr>
                <w:b/>
                <w:i/>
                <w:lang w:val="en-US"/>
              </w:rPr>
              <w:t>Vita Rudzīte</w:t>
            </w:r>
          </w:p>
        </w:tc>
        <w:tc>
          <w:tcPr>
            <w:tcW w:w="2790" w:type="dxa"/>
            <w:shd w:val="clear" w:color="auto" w:fill="auto"/>
            <w:vAlign w:val="center"/>
          </w:tcPr>
          <w:p w14:paraId="268F0450" w14:textId="1151861E" w:rsidR="00187F41" w:rsidRPr="00F45D4A" w:rsidRDefault="00B903C4" w:rsidP="00E702AA">
            <w:pPr>
              <w:spacing w:before="120" w:line="240" w:lineRule="auto"/>
              <w:rPr>
                <w:b/>
                <w:i/>
                <w:lang w:val="en-US"/>
              </w:rPr>
            </w:pPr>
            <w:proofErr w:type="gramStart"/>
            <w:r>
              <w:rPr>
                <w:b/>
                <w:i/>
              </w:rPr>
              <w:t>Certification  system</w:t>
            </w:r>
            <w:proofErr w:type="gramEnd"/>
            <w:r>
              <w:rPr>
                <w:b/>
                <w:i/>
              </w:rPr>
              <w:t xml:space="preserve"> manager  </w:t>
            </w:r>
          </w:p>
        </w:tc>
        <w:tc>
          <w:tcPr>
            <w:tcW w:w="1728" w:type="dxa"/>
            <w:shd w:val="clear" w:color="auto" w:fill="auto"/>
            <w:vAlign w:val="center"/>
          </w:tcPr>
          <w:p w14:paraId="57A5280F" w14:textId="2AECE08F" w:rsidR="00187F41" w:rsidRPr="00BA4B08" w:rsidRDefault="00BA4B08" w:rsidP="00E702AA">
            <w:pPr>
              <w:spacing w:before="120" w:line="240" w:lineRule="auto"/>
              <w:rPr>
                <w:b/>
                <w:i/>
                <w:lang w:val="en-US"/>
              </w:rPr>
            </w:pPr>
            <w:r w:rsidRPr="00BA4B08">
              <w:rPr>
                <w:b/>
                <w:i/>
                <w:lang w:val="en-US"/>
              </w:rPr>
              <w:t>03.03</w:t>
            </w:r>
            <w:r w:rsidR="00B903C4" w:rsidRPr="00BA4B08">
              <w:rPr>
                <w:b/>
                <w:i/>
                <w:lang w:val="en-US"/>
              </w:rPr>
              <w:t>.2020.</w:t>
            </w:r>
          </w:p>
        </w:tc>
      </w:tr>
      <w:tr w:rsidR="00187F41" w:rsidRPr="00F45D4A" w14:paraId="752500FB" w14:textId="77777777" w:rsidTr="00E702AA">
        <w:trPr>
          <w:trHeight w:val="413"/>
        </w:trPr>
        <w:tc>
          <w:tcPr>
            <w:tcW w:w="1278" w:type="dxa"/>
            <w:vMerge/>
            <w:shd w:val="clear" w:color="auto" w:fill="A3CAB8" w:themeFill="accent3" w:themeFillTint="99"/>
            <w:vAlign w:val="center"/>
          </w:tcPr>
          <w:p w14:paraId="465B9016" w14:textId="77777777" w:rsidR="00187F41" w:rsidRPr="00F45D4A" w:rsidRDefault="00187F41" w:rsidP="00E702AA">
            <w:pPr>
              <w:spacing w:after="200"/>
              <w:rPr>
                <w:b/>
                <w:lang w:val="en-US"/>
              </w:rPr>
            </w:pPr>
          </w:p>
        </w:tc>
        <w:tc>
          <w:tcPr>
            <w:tcW w:w="3780" w:type="dxa"/>
            <w:shd w:val="clear" w:color="auto" w:fill="A3CAB8" w:themeFill="accent3" w:themeFillTint="99"/>
            <w:vAlign w:val="center"/>
          </w:tcPr>
          <w:p w14:paraId="41B37BD3" w14:textId="77777777" w:rsidR="00187F41" w:rsidRPr="00F45D4A" w:rsidRDefault="00187F41" w:rsidP="00E702AA">
            <w:pPr>
              <w:spacing w:before="120" w:line="240" w:lineRule="auto"/>
              <w:rPr>
                <w:b/>
                <w:lang w:val="en-US"/>
              </w:rPr>
            </w:pPr>
            <w:r w:rsidRPr="00F45D4A">
              <w:rPr>
                <w:b/>
                <w:lang w:val="en-US"/>
              </w:rPr>
              <w:t>Name</w:t>
            </w:r>
          </w:p>
        </w:tc>
        <w:tc>
          <w:tcPr>
            <w:tcW w:w="2790" w:type="dxa"/>
            <w:shd w:val="clear" w:color="auto" w:fill="A3CAB8" w:themeFill="accent3" w:themeFillTint="99"/>
            <w:vAlign w:val="center"/>
          </w:tcPr>
          <w:p w14:paraId="1DA233B5" w14:textId="77777777" w:rsidR="00187F41" w:rsidRPr="00F45D4A" w:rsidRDefault="00187F41" w:rsidP="00E702AA">
            <w:pPr>
              <w:spacing w:before="120" w:line="240" w:lineRule="auto"/>
              <w:rPr>
                <w:b/>
                <w:lang w:val="en-US"/>
              </w:rPr>
            </w:pPr>
            <w:r w:rsidRPr="00F45D4A">
              <w:rPr>
                <w:b/>
                <w:lang w:val="en-US"/>
              </w:rPr>
              <w:t>Title</w:t>
            </w:r>
          </w:p>
        </w:tc>
        <w:tc>
          <w:tcPr>
            <w:tcW w:w="1728" w:type="dxa"/>
            <w:shd w:val="clear" w:color="auto" w:fill="A3CAB8" w:themeFill="accent3" w:themeFillTint="99"/>
            <w:vAlign w:val="center"/>
          </w:tcPr>
          <w:p w14:paraId="72A6695D" w14:textId="77777777" w:rsidR="00187F41" w:rsidRPr="00F45D4A" w:rsidRDefault="00187F41" w:rsidP="00E702AA">
            <w:pPr>
              <w:spacing w:before="120" w:line="240" w:lineRule="auto"/>
              <w:rPr>
                <w:b/>
                <w:lang w:val="en-US"/>
              </w:rPr>
            </w:pPr>
            <w:r w:rsidRPr="00F45D4A">
              <w:rPr>
                <w:b/>
                <w:lang w:val="en-US"/>
              </w:rPr>
              <w:t>Date</w:t>
            </w:r>
          </w:p>
        </w:tc>
      </w:tr>
      <w:tr w:rsidR="00187F41" w:rsidRPr="00F45D4A" w14:paraId="46C35FC9" w14:textId="77777777" w:rsidTr="00E702AA">
        <w:trPr>
          <w:trHeight w:val="647"/>
        </w:trPr>
        <w:tc>
          <w:tcPr>
            <w:tcW w:w="9576" w:type="dxa"/>
            <w:gridSpan w:val="4"/>
            <w:shd w:val="clear" w:color="auto" w:fill="A3CAB8" w:themeFill="accent3" w:themeFillTint="99"/>
            <w:vAlign w:val="center"/>
          </w:tcPr>
          <w:p w14:paraId="27A3821D" w14:textId="77777777" w:rsidR="00187F41" w:rsidRPr="00F45D4A" w:rsidRDefault="00187F41" w:rsidP="00E702AA">
            <w:pPr>
              <w:spacing w:before="120" w:after="120" w:line="240" w:lineRule="auto"/>
              <w:rPr>
                <w:b/>
                <w:lang w:val="en-US"/>
              </w:rPr>
            </w:pPr>
            <w:r w:rsidRPr="00F45D4A">
              <w:rPr>
                <w:b/>
                <w:lang w:val="en-US"/>
              </w:rPr>
              <w:t xml:space="preserve">The undersigned persons confirm that I/we are members of the </w:t>
            </w:r>
            <w:proofErr w:type="spellStart"/>
            <w:r w:rsidRPr="00F45D4A">
              <w:rPr>
                <w:b/>
                <w:lang w:val="en-US"/>
              </w:rPr>
              <w:t>organisation’s</w:t>
            </w:r>
            <w:proofErr w:type="spellEnd"/>
            <w:r w:rsidRPr="00F45D4A">
              <w:rPr>
                <w:b/>
                <w:lang w:val="en-US"/>
              </w:rPr>
              <w:t xml:space="preserve"> senior management and do hereby affirm that the contents of this evaluation report were duly acknowledged by senior management as being accurate prior to approval and </w:t>
            </w:r>
            <w:proofErr w:type="spellStart"/>
            <w:r w:rsidRPr="00F45D4A">
              <w:rPr>
                <w:b/>
                <w:lang w:val="en-US"/>
              </w:rPr>
              <w:t>finalisation</w:t>
            </w:r>
            <w:proofErr w:type="spellEnd"/>
            <w:r w:rsidRPr="00F45D4A">
              <w:rPr>
                <w:b/>
                <w:lang w:val="en-US"/>
              </w:rPr>
              <w:t xml:space="preserve"> of the report. </w:t>
            </w:r>
          </w:p>
        </w:tc>
      </w:tr>
      <w:tr w:rsidR="00B903C4" w:rsidRPr="00F45D4A" w14:paraId="6A01E198" w14:textId="77777777" w:rsidTr="00603ED2">
        <w:trPr>
          <w:trHeight w:val="1178"/>
        </w:trPr>
        <w:tc>
          <w:tcPr>
            <w:tcW w:w="1278" w:type="dxa"/>
            <w:vMerge w:val="restart"/>
            <w:shd w:val="clear" w:color="auto" w:fill="A3CAB8" w:themeFill="accent3" w:themeFillTint="99"/>
            <w:vAlign w:val="center"/>
          </w:tcPr>
          <w:p w14:paraId="503E8646" w14:textId="77777777" w:rsidR="00B903C4" w:rsidRPr="00F45D4A" w:rsidRDefault="00B903C4" w:rsidP="00B903C4">
            <w:pPr>
              <w:spacing w:before="120" w:line="240" w:lineRule="auto"/>
              <w:rPr>
                <w:b/>
                <w:lang w:val="en-US"/>
              </w:rPr>
            </w:pPr>
            <w:r>
              <w:rPr>
                <w:b/>
                <w:lang w:val="en-US"/>
              </w:rPr>
              <w:t>Report a</w:t>
            </w:r>
            <w:r w:rsidRPr="00F45D4A">
              <w:rPr>
                <w:b/>
                <w:lang w:val="en-US"/>
              </w:rPr>
              <w:t>pproved by:</w:t>
            </w:r>
          </w:p>
        </w:tc>
        <w:tc>
          <w:tcPr>
            <w:tcW w:w="3780" w:type="dxa"/>
            <w:shd w:val="clear" w:color="auto" w:fill="auto"/>
            <w:vAlign w:val="center"/>
          </w:tcPr>
          <w:p w14:paraId="09B2069F" w14:textId="2083E4A6" w:rsidR="00B903C4" w:rsidRPr="00F45D4A" w:rsidRDefault="00B903C4" w:rsidP="00B903C4">
            <w:pPr>
              <w:spacing w:before="120" w:line="240" w:lineRule="auto"/>
              <w:rPr>
                <w:b/>
                <w:i/>
                <w:lang w:val="en-US"/>
              </w:rPr>
            </w:pPr>
            <w:r>
              <w:rPr>
                <w:b/>
                <w:i/>
                <w:lang w:val="en-US"/>
              </w:rPr>
              <w:t>Jānis Mierkalns</w:t>
            </w:r>
          </w:p>
        </w:tc>
        <w:tc>
          <w:tcPr>
            <w:tcW w:w="2790" w:type="dxa"/>
            <w:shd w:val="clear" w:color="auto" w:fill="auto"/>
            <w:vAlign w:val="bottom"/>
          </w:tcPr>
          <w:p w14:paraId="42D86C5E" w14:textId="77777777" w:rsidR="00B903C4" w:rsidRDefault="00B903C4" w:rsidP="00B903C4">
            <w:pPr>
              <w:spacing w:before="120" w:line="240" w:lineRule="auto"/>
              <w:rPr>
                <w:b/>
                <w:i/>
              </w:rPr>
            </w:pPr>
            <w:proofErr w:type="gramStart"/>
            <w:r>
              <w:rPr>
                <w:b/>
                <w:i/>
              </w:rPr>
              <w:t>Member  of</w:t>
            </w:r>
            <w:proofErr w:type="gramEnd"/>
            <w:r>
              <w:rPr>
                <w:b/>
                <w:i/>
              </w:rPr>
              <w:t xml:space="preserve">  the  board </w:t>
            </w:r>
          </w:p>
          <w:p w14:paraId="0DB4B76A" w14:textId="2FCC11ED" w:rsidR="00B903C4" w:rsidRPr="00F45D4A" w:rsidRDefault="00B903C4" w:rsidP="00B903C4">
            <w:pPr>
              <w:spacing w:before="120" w:line="240" w:lineRule="auto"/>
              <w:rPr>
                <w:b/>
                <w:i/>
                <w:lang w:val="en-US"/>
              </w:rPr>
            </w:pPr>
            <w:r>
              <w:rPr>
                <w:b/>
                <w:i/>
              </w:rPr>
              <w:t xml:space="preserve"> </w:t>
            </w:r>
          </w:p>
        </w:tc>
        <w:tc>
          <w:tcPr>
            <w:tcW w:w="1728" w:type="dxa"/>
            <w:shd w:val="clear" w:color="auto" w:fill="auto"/>
            <w:vAlign w:val="center"/>
          </w:tcPr>
          <w:p w14:paraId="68ED1314" w14:textId="03B77361" w:rsidR="00B903C4" w:rsidRPr="00F45D4A" w:rsidRDefault="00BA4B08" w:rsidP="00B903C4">
            <w:pPr>
              <w:spacing w:before="120" w:line="240" w:lineRule="auto"/>
              <w:rPr>
                <w:b/>
                <w:i/>
                <w:lang w:val="en-US"/>
              </w:rPr>
            </w:pPr>
            <w:r w:rsidRPr="00BA4B08">
              <w:rPr>
                <w:b/>
                <w:i/>
                <w:lang w:val="en-US"/>
              </w:rPr>
              <w:t>05.03</w:t>
            </w:r>
            <w:r w:rsidR="00B903C4" w:rsidRPr="00BA4B08">
              <w:rPr>
                <w:b/>
                <w:i/>
                <w:lang w:val="en-US"/>
              </w:rPr>
              <w:t>.2020.</w:t>
            </w:r>
          </w:p>
        </w:tc>
      </w:tr>
      <w:tr w:rsidR="00B903C4" w:rsidRPr="00F45D4A" w14:paraId="21F7752F" w14:textId="77777777" w:rsidTr="00E702AA">
        <w:trPr>
          <w:trHeight w:val="413"/>
        </w:trPr>
        <w:tc>
          <w:tcPr>
            <w:tcW w:w="1278" w:type="dxa"/>
            <w:vMerge/>
            <w:shd w:val="clear" w:color="auto" w:fill="A3CAB8" w:themeFill="accent3" w:themeFillTint="99"/>
            <w:vAlign w:val="center"/>
          </w:tcPr>
          <w:p w14:paraId="653883AB" w14:textId="77777777" w:rsidR="00B903C4" w:rsidRPr="00F45D4A" w:rsidRDefault="00B903C4" w:rsidP="00B903C4">
            <w:pPr>
              <w:spacing w:before="120" w:line="240" w:lineRule="auto"/>
              <w:rPr>
                <w:b/>
                <w:lang w:val="en-US"/>
              </w:rPr>
            </w:pPr>
          </w:p>
        </w:tc>
        <w:tc>
          <w:tcPr>
            <w:tcW w:w="3780" w:type="dxa"/>
            <w:shd w:val="clear" w:color="auto" w:fill="A3CAB8" w:themeFill="accent3" w:themeFillTint="99"/>
            <w:vAlign w:val="center"/>
          </w:tcPr>
          <w:p w14:paraId="44203633" w14:textId="77777777" w:rsidR="00B903C4" w:rsidRPr="00F45D4A" w:rsidRDefault="00B903C4" w:rsidP="00B903C4">
            <w:pPr>
              <w:spacing w:before="120" w:line="240" w:lineRule="auto"/>
              <w:rPr>
                <w:b/>
                <w:lang w:val="en-US"/>
              </w:rPr>
            </w:pPr>
            <w:r w:rsidRPr="00F45D4A">
              <w:rPr>
                <w:b/>
                <w:lang w:val="en-US"/>
              </w:rPr>
              <w:t>Name</w:t>
            </w:r>
          </w:p>
        </w:tc>
        <w:tc>
          <w:tcPr>
            <w:tcW w:w="2790" w:type="dxa"/>
            <w:shd w:val="clear" w:color="auto" w:fill="A3CAB8" w:themeFill="accent3" w:themeFillTint="99"/>
            <w:vAlign w:val="center"/>
          </w:tcPr>
          <w:p w14:paraId="22CC1EC4" w14:textId="77777777" w:rsidR="00B903C4" w:rsidRPr="00F45D4A" w:rsidRDefault="00B903C4" w:rsidP="00B903C4">
            <w:pPr>
              <w:spacing w:before="120" w:line="240" w:lineRule="auto"/>
              <w:rPr>
                <w:b/>
                <w:lang w:val="en-US"/>
              </w:rPr>
            </w:pPr>
            <w:r w:rsidRPr="00F45D4A">
              <w:rPr>
                <w:b/>
                <w:lang w:val="en-US"/>
              </w:rPr>
              <w:t>Title</w:t>
            </w:r>
          </w:p>
        </w:tc>
        <w:tc>
          <w:tcPr>
            <w:tcW w:w="1728" w:type="dxa"/>
            <w:shd w:val="clear" w:color="auto" w:fill="A3CAB8" w:themeFill="accent3" w:themeFillTint="99"/>
            <w:vAlign w:val="center"/>
          </w:tcPr>
          <w:p w14:paraId="0BC50FAF" w14:textId="77777777" w:rsidR="00B903C4" w:rsidRPr="00F45D4A" w:rsidRDefault="00B903C4" w:rsidP="00B903C4">
            <w:pPr>
              <w:spacing w:before="120" w:line="240" w:lineRule="auto"/>
              <w:rPr>
                <w:b/>
                <w:lang w:val="en-US"/>
              </w:rPr>
            </w:pPr>
            <w:r w:rsidRPr="00F45D4A">
              <w:rPr>
                <w:b/>
                <w:lang w:val="en-US"/>
              </w:rPr>
              <w:t>Date</w:t>
            </w:r>
          </w:p>
        </w:tc>
      </w:tr>
      <w:tr w:rsidR="00B903C4" w:rsidRPr="00F45D4A" w14:paraId="506520A8" w14:textId="77777777" w:rsidTr="00E702AA">
        <w:trPr>
          <w:trHeight w:val="1178"/>
        </w:trPr>
        <w:tc>
          <w:tcPr>
            <w:tcW w:w="1278" w:type="dxa"/>
            <w:vMerge w:val="restart"/>
            <w:shd w:val="clear" w:color="auto" w:fill="A3CAB8" w:themeFill="accent3" w:themeFillTint="99"/>
            <w:vAlign w:val="center"/>
          </w:tcPr>
          <w:p w14:paraId="2D573FED" w14:textId="77777777" w:rsidR="00B903C4" w:rsidRPr="00F45D4A" w:rsidRDefault="00B903C4" w:rsidP="00B903C4">
            <w:pPr>
              <w:spacing w:before="120" w:line="240" w:lineRule="auto"/>
              <w:rPr>
                <w:b/>
                <w:lang w:val="en-US"/>
              </w:rPr>
            </w:pPr>
            <w:r w:rsidRPr="00F45D4A">
              <w:rPr>
                <w:b/>
                <w:lang w:val="en-US"/>
              </w:rPr>
              <w:t xml:space="preserve">Report </w:t>
            </w:r>
            <w:r>
              <w:rPr>
                <w:b/>
                <w:lang w:val="en-US"/>
              </w:rPr>
              <w:t>a</w:t>
            </w:r>
            <w:r w:rsidRPr="00F45D4A">
              <w:rPr>
                <w:b/>
                <w:lang w:val="en-US"/>
              </w:rPr>
              <w:t>pproved by:</w:t>
            </w:r>
          </w:p>
        </w:tc>
        <w:tc>
          <w:tcPr>
            <w:tcW w:w="3780" w:type="dxa"/>
            <w:shd w:val="clear" w:color="auto" w:fill="auto"/>
            <w:vAlign w:val="center"/>
          </w:tcPr>
          <w:p w14:paraId="073C3540" w14:textId="7EE775A3" w:rsidR="00B903C4" w:rsidRPr="00F45D4A" w:rsidRDefault="00B903C4" w:rsidP="00B903C4">
            <w:pPr>
              <w:spacing w:before="120" w:line="240" w:lineRule="auto"/>
              <w:rPr>
                <w:b/>
                <w:i/>
                <w:lang w:val="en-US"/>
              </w:rPr>
            </w:pPr>
          </w:p>
        </w:tc>
        <w:tc>
          <w:tcPr>
            <w:tcW w:w="2790" w:type="dxa"/>
            <w:shd w:val="clear" w:color="auto" w:fill="auto"/>
            <w:vAlign w:val="center"/>
          </w:tcPr>
          <w:p w14:paraId="2BD39D09" w14:textId="1098FD68" w:rsidR="00B903C4" w:rsidRPr="00F45D4A" w:rsidRDefault="00B903C4" w:rsidP="00B903C4">
            <w:pPr>
              <w:spacing w:before="120" w:line="240" w:lineRule="auto"/>
              <w:rPr>
                <w:b/>
                <w:i/>
                <w:lang w:val="en-US"/>
              </w:rPr>
            </w:pPr>
          </w:p>
        </w:tc>
        <w:tc>
          <w:tcPr>
            <w:tcW w:w="1728" w:type="dxa"/>
            <w:shd w:val="clear" w:color="auto" w:fill="auto"/>
            <w:vAlign w:val="center"/>
          </w:tcPr>
          <w:p w14:paraId="703C325E" w14:textId="583E36C0" w:rsidR="00B903C4" w:rsidRPr="00F45D4A" w:rsidRDefault="00B903C4" w:rsidP="00B903C4">
            <w:pPr>
              <w:spacing w:before="120" w:line="240" w:lineRule="auto"/>
              <w:rPr>
                <w:b/>
                <w:i/>
                <w:lang w:val="en-US"/>
              </w:rPr>
            </w:pPr>
          </w:p>
        </w:tc>
      </w:tr>
      <w:tr w:rsidR="00B903C4" w:rsidRPr="00F45D4A" w14:paraId="1C8E12E7" w14:textId="77777777" w:rsidTr="00E702AA">
        <w:trPr>
          <w:trHeight w:val="413"/>
        </w:trPr>
        <w:tc>
          <w:tcPr>
            <w:tcW w:w="1278" w:type="dxa"/>
            <w:vMerge/>
            <w:shd w:val="clear" w:color="auto" w:fill="A3CAB8" w:themeFill="accent3" w:themeFillTint="99"/>
            <w:vAlign w:val="center"/>
          </w:tcPr>
          <w:p w14:paraId="52A2A512" w14:textId="77777777" w:rsidR="00B903C4" w:rsidRPr="00F45D4A" w:rsidRDefault="00B903C4" w:rsidP="00B903C4">
            <w:pPr>
              <w:spacing w:before="120" w:line="240" w:lineRule="auto"/>
              <w:rPr>
                <w:b/>
                <w:lang w:val="en-US"/>
              </w:rPr>
            </w:pPr>
          </w:p>
        </w:tc>
        <w:tc>
          <w:tcPr>
            <w:tcW w:w="3780" w:type="dxa"/>
            <w:shd w:val="clear" w:color="auto" w:fill="A3CAB8" w:themeFill="accent3" w:themeFillTint="99"/>
            <w:vAlign w:val="center"/>
          </w:tcPr>
          <w:p w14:paraId="44A38DCA" w14:textId="77777777" w:rsidR="00B903C4" w:rsidRPr="00F45D4A" w:rsidRDefault="00B903C4" w:rsidP="00B903C4">
            <w:pPr>
              <w:spacing w:before="120" w:line="240" w:lineRule="auto"/>
              <w:rPr>
                <w:b/>
                <w:lang w:val="en-US"/>
              </w:rPr>
            </w:pPr>
            <w:r w:rsidRPr="00F45D4A">
              <w:rPr>
                <w:b/>
                <w:lang w:val="en-US"/>
              </w:rPr>
              <w:t>Name</w:t>
            </w:r>
          </w:p>
        </w:tc>
        <w:tc>
          <w:tcPr>
            <w:tcW w:w="2790" w:type="dxa"/>
            <w:shd w:val="clear" w:color="auto" w:fill="A3CAB8" w:themeFill="accent3" w:themeFillTint="99"/>
            <w:vAlign w:val="center"/>
          </w:tcPr>
          <w:p w14:paraId="51834796" w14:textId="77777777" w:rsidR="00B903C4" w:rsidRPr="00F45D4A" w:rsidRDefault="00B903C4" w:rsidP="00B903C4">
            <w:pPr>
              <w:spacing w:before="120" w:line="240" w:lineRule="auto"/>
              <w:rPr>
                <w:b/>
                <w:lang w:val="en-US"/>
              </w:rPr>
            </w:pPr>
            <w:r w:rsidRPr="00F45D4A">
              <w:rPr>
                <w:b/>
                <w:lang w:val="en-US"/>
              </w:rPr>
              <w:t>Title</w:t>
            </w:r>
          </w:p>
        </w:tc>
        <w:tc>
          <w:tcPr>
            <w:tcW w:w="1728" w:type="dxa"/>
            <w:shd w:val="clear" w:color="auto" w:fill="A3CAB8" w:themeFill="accent3" w:themeFillTint="99"/>
            <w:vAlign w:val="center"/>
          </w:tcPr>
          <w:p w14:paraId="345E3117" w14:textId="77777777" w:rsidR="00B903C4" w:rsidRPr="00F45D4A" w:rsidRDefault="00B903C4" w:rsidP="00B903C4">
            <w:pPr>
              <w:spacing w:before="120" w:line="240" w:lineRule="auto"/>
              <w:rPr>
                <w:b/>
                <w:lang w:val="en-US"/>
              </w:rPr>
            </w:pPr>
            <w:r w:rsidRPr="00F45D4A">
              <w:rPr>
                <w:b/>
                <w:lang w:val="en-US"/>
              </w:rPr>
              <w:t>Date</w:t>
            </w:r>
          </w:p>
        </w:tc>
      </w:tr>
      <w:tr w:rsidR="00B903C4" w:rsidRPr="00F45D4A" w14:paraId="37D80C3A" w14:textId="77777777" w:rsidTr="00E702AA">
        <w:trPr>
          <w:trHeight w:val="1178"/>
        </w:trPr>
        <w:tc>
          <w:tcPr>
            <w:tcW w:w="1278" w:type="dxa"/>
            <w:vMerge w:val="restart"/>
            <w:shd w:val="clear" w:color="auto" w:fill="A3CAB8" w:themeFill="accent3" w:themeFillTint="99"/>
            <w:vAlign w:val="center"/>
          </w:tcPr>
          <w:p w14:paraId="1177EFB4" w14:textId="77777777" w:rsidR="00B903C4" w:rsidRPr="00F45D4A" w:rsidRDefault="00B903C4" w:rsidP="00B903C4">
            <w:pPr>
              <w:spacing w:before="120" w:line="240" w:lineRule="auto"/>
              <w:rPr>
                <w:b/>
                <w:lang w:val="en-US"/>
              </w:rPr>
            </w:pPr>
            <w:r>
              <w:rPr>
                <w:b/>
                <w:lang w:val="en-US"/>
              </w:rPr>
              <w:t>Report a</w:t>
            </w:r>
            <w:r w:rsidRPr="00F45D4A">
              <w:rPr>
                <w:b/>
                <w:lang w:val="en-US"/>
              </w:rPr>
              <w:t>pproved by:</w:t>
            </w:r>
          </w:p>
        </w:tc>
        <w:tc>
          <w:tcPr>
            <w:tcW w:w="3780" w:type="dxa"/>
            <w:shd w:val="clear" w:color="auto" w:fill="auto"/>
            <w:vAlign w:val="center"/>
          </w:tcPr>
          <w:p w14:paraId="41338051" w14:textId="70F0930D" w:rsidR="00B903C4" w:rsidRPr="00F45D4A" w:rsidRDefault="00B903C4" w:rsidP="00B903C4">
            <w:pPr>
              <w:spacing w:before="120" w:line="240" w:lineRule="auto"/>
              <w:rPr>
                <w:b/>
                <w:i/>
                <w:lang w:val="en-US"/>
              </w:rPr>
            </w:pPr>
          </w:p>
        </w:tc>
        <w:tc>
          <w:tcPr>
            <w:tcW w:w="2790" w:type="dxa"/>
            <w:shd w:val="clear" w:color="auto" w:fill="auto"/>
            <w:vAlign w:val="center"/>
          </w:tcPr>
          <w:p w14:paraId="6FCE788B" w14:textId="2B838E23" w:rsidR="00B903C4" w:rsidRPr="00F45D4A" w:rsidRDefault="00B903C4" w:rsidP="00B903C4">
            <w:pPr>
              <w:spacing w:before="120" w:line="240" w:lineRule="auto"/>
              <w:rPr>
                <w:b/>
                <w:i/>
                <w:lang w:val="en-US"/>
              </w:rPr>
            </w:pPr>
          </w:p>
        </w:tc>
        <w:tc>
          <w:tcPr>
            <w:tcW w:w="1728" w:type="dxa"/>
            <w:shd w:val="clear" w:color="auto" w:fill="auto"/>
            <w:vAlign w:val="center"/>
          </w:tcPr>
          <w:p w14:paraId="5EF35385" w14:textId="65C757E3" w:rsidR="00B903C4" w:rsidRPr="00F45D4A" w:rsidRDefault="00B903C4" w:rsidP="00B903C4">
            <w:pPr>
              <w:spacing w:before="120" w:line="240" w:lineRule="auto"/>
              <w:rPr>
                <w:b/>
                <w:i/>
                <w:lang w:val="en-US"/>
              </w:rPr>
            </w:pPr>
          </w:p>
        </w:tc>
      </w:tr>
      <w:tr w:rsidR="00B903C4" w:rsidRPr="00F45D4A" w14:paraId="025C6E80" w14:textId="77777777" w:rsidTr="00E702AA">
        <w:trPr>
          <w:trHeight w:val="413"/>
        </w:trPr>
        <w:tc>
          <w:tcPr>
            <w:tcW w:w="1278" w:type="dxa"/>
            <w:vMerge/>
            <w:shd w:val="clear" w:color="auto" w:fill="A3CAB8" w:themeFill="accent3" w:themeFillTint="99"/>
            <w:vAlign w:val="center"/>
          </w:tcPr>
          <w:p w14:paraId="7659F106" w14:textId="77777777" w:rsidR="00B903C4" w:rsidRPr="00F45D4A" w:rsidRDefault="00B903C4" w:rsidP="00B903C4">
            <w:pPr>
              <w:spacing w:before="120" w:line="240" w:lineRule="auto"/>
              <w:rPr>
                <w:b/>
                <w:lang w:val="en-US"/>
              </w:rPr>
            </w:pPr>
          </w:p>
        </w:tc>
        <w:tc>
          <w:tcPr>
            <w:tcW w:w="3780" w:type="dxa"/>
            <w:shd w:val="clear" w:color="auto" w:fill="A3CAB8" w:themeFill="accent3" w:themeFillTint="99"/>
            <w:vAlign w:val="center"/>
          </w:tcPr>
          <w:p w14:paraId="738058DB" w14:textId="77777777" w:rsidR="00B903C4" w:rsidRPr="00F45D4A" w:rsidRDefault="00B903C4" w:rsidP="00B903C4">
            <w:pPr>
              <w:spacing w:before="120" w:line="240" w:lineRule="auto"/>
              <w:rPr>
                <w:b/>
                <w:lang w:val="en-US"/>
              </w:rPr>
            </w:pPr>
            <w:r w:rsidRPr="00F45D4A">
              <w:rPr>
                <w:b/>
                <w:lang w:val="en-US"/>
              </w:rPr>
              <w:t>Name</w:t>
            </w:r>
          </w:p>
        </w:tc>
        <w:tc>
          <w:tcPr>
            <w:tcW w:w="2790" w:type="dxa"/>
            <w:shd w:val="clear" w:color="auto" w:fill="A3CAB8" w:themeFill="accent3" w:themeFillTint="99"/>
            <w:vAlign w:val="center"/>
          </w:tcPr>
          <w:p w14:paraId="1DDDB622" w14:textId="77777777" w:rsidR="00B903C4" w:rsidRPr="00F45D4A" w:rsidRDefault="00B903C4" w:rsidP="00B903C4">
            <w:pPr>
              <w:spacing w:before="120" w:line="240" w:lineRule="auto"/>
              <w:rPr>
                <w:b/>
                <w:lang w:val="en-US"/>
              </w:rPr>
            </w:pPr>
            <w:r w:rsidRPr="00F45D4A">
              <w:rPr>
                <w:b/>
                <w:lang w:val="en-US"/>
              </w:rPr>
              <w:t>Title</w:t>
            </w:r>
          </w:p>
        </w:tc>
        <w:tc>
          <w:tcPr>
            <w:tcW w:w="1728" w:type="dxa"/>
            <w:shd w:val="clear" w:color="auto" w:fill="A3CAB8" w:themeFill="accent3" w:themeFillTint="99"/>
            <w:vAlign w:val="center"/>
          </w:tcPr>
          <w:p w14:paraId="5DA0F178" w14:textId="77777777" w:rsidR="00B903C4" w:rsidRPr="00F45D4A" w:rsidRDefault="00B903C4" w:rsidP="00B903C4">
            <w:pPr>
              <w:spacing w:before="120" w:line="240" w:lineRule="auto"/>
              <w:rPr>
                <w:b/>
                <w:lang w:val="en-US"/>
              </w:rPr>
            </w:pPr>
            <w:r w:rsidRPr="00F45D4A">
              <w:rPr>
                <w:b/>
                <w:lang w:val="en-US"/>
              </w:rPr>
              <w:t>Date</w:t>
            </w:r>
          </w:p>
        </w:tc>
      </w:tr>
    </w:tbl>
    <w:p w14:paraId="2F07D92D" w14:textId="77777777" w:rsidR="00187F41" w:rsidRDefault="00187F41" w:rsidP="00187F41"/>
    <w:p w14:paraId="5B23616D" w14:textId="77777777" w:rsidR="00187F41" w:rsidRDefault="00187F41" w:rsidP="00187F41">
      <w:pPr>
        <w:pStyle w:val="Virsraksts1"/>
      </w:pPr>
      <w:bookmarkStart w:id="56" w:name="_Toc412646224"/>
      <w:bookmarkStart w:id="57" w:name="_Toc454366482"/>
      <w:r>
        <w:lastRenderedPageBreak/>
        <w:t>Updates</w:t>
      </w:r>
      <w:bookmarkEnd w:id="56"/>
      <w:bookmarkEnd w:id="57"/>
    </w:p>
    <w:p w14:paraId="2CCED2CC" w14:textId="1586DF06" w:rsidR="00B903C4" w:rsidRDefault="00B903C4" w:rsidP="00B903C4">
      <w:pPr>
        <w:spacing w:after="557"/>
        <w:ind w:left="-5"/>
      </w:pPr>
      <w:r>
        <w:t>Report updated with data from 01.01.2019. – 31.</w:t>
      </w:r>
      <w:proofErr w:type="gramStart"/>
      <w:r>
        <w:t>12.2019..</w:t>
      </w:r>
      <w:proofErr w:type="gramEnd"/>
      <w:r>
        <w:t xml:space="preserve">  </w:t>
      </w:r>
    </w:p>
    <w:p w14:paraId="55553F06" w14:textId="77777777" w:rsidR="00187F41" w:rsidRDefault="00187F41" w:rsidP="00187F41">
      <w:pPr>
        <w:pStyle w:val="Virsraksts2"/>
      </w:pPr>
      <w:bookmarkStart w:id="58" w:name="_Toc412646225"/>
      <w:bookmarkStart w:id="59" w:name="_Toc454366483"/>
      <w:r>
        <w:t>Significant changes in the Supply Base</w:t>
      </w:r>
      <w:bookmarkEnd w:id="58"/>
      <w:bookmarkEnd w:id="59"/>
    </w:p>
    <w:p w14:paraId="08899A27" w14:textId="2F30D689" w:rsidR="00B903C4" w:rsidRDefault="00B903C4" w:rsidP="00B903C4">
      <w:pPr>
        <w:spacing w:after="557"/>
        <w:ind w:left="-5"/>
      </w:pPr>
      <w:bookmarkStart w:id="60" w:name="_Toc412646226"/>
      <w:bookmarkStart w:id="61" w:name="_Toc454366484"/>
      <w:r>
        <w:t xml:space="preserve">  </w:t>
      </w:r>
      <w:r w:rsidR="00153608" w:rsidRPr="00153608">
        <w:t>There have been no major changes in the supply base</w:t>
      </w:r>
    </w:p>
    <w:p w14:paraId="6B11BC12" w14:textId="4792EE38" w:rsidR="00187F41" w:rsidRDefault="00187F41" w:rsidP="00187F41">
      <w:pPr>
        <w:pStyle w:val="Virsraksts2"/>
      </w:pPr>
      <w:r>
        <w:t>Effectiveness of previous mitigation measures</w:t>
      </w:r>
      <w:bookmarkEnd w:id="60"/>
      <w:bookmarkEnd w:id="61"/>
    </w:p>
    <w:p w14:paraId="59DB20AC" w14:textId="77777777" w:rsidR="005E4B02" w:rsidRDefault="005E4B02" w:rsidP="005E4B02">
      <w:pPr>
        <w:spacing w:after="0" w:line="276" w:lineRule="auto"/>
        <w:ind w:left="-5"/>
      </w:pPr>
      <w:r>
        <w:t>Work protection and safety inspections in f</w:t>
      </w:r>
      <w:r w:rsidRPr="00C5101B">
        <w:t xml:space="preserve">orest confirmed that the </w:t>
      </w:r>
      <w:r>
        <w:t>main</w:t>
      </w:r>
      <w:r w:rsidRPr="00C5101B">
        <w:t xml:space="preserve"> requirements were met</w:t>
      </w:r>
      <w:r>
        <w:t xml:space="preserve"> – logging companies </w:t>
      </w:r>
      <w:r w:rsidRPr="004B3545">
        <w:t xml:space="preserve">have appropriate documentation, personal </w:t>
      </w:r>
      <w:r>
        <w:t>safety</w:t>
      </w:r>
      <w:r w:rsidRPr="004B3545">
        <w:t xml:space="preserve"> equipment, first aid kits, fire extinguishers, environmental packs.</w:t>
      </w:r>
    </w:p>
    <w:p w14:paraId="0D9ECA0F" w14:textId="77777777" w:rsidR="005E4B02" w:rsidRDefault="005E4B02" w:rsidP="005E4B02">
      <w:pPr>
        <w:spacing w:after="0" w:line="276" w:lineRule="auto"/>
        <w:ind w:left="-5"/>
      </w:pPr>
    </w:p>
    <w:p w14:paraId="2F301144" w14:textId="7664289A" w:rsidR="005E4B02" w:rsidRDefault="005E4B02" w:rsidP="005E4B02">
      <w:pPr>
        <w:spacing w:after="0" w:line="276" w:lineRule="auto"/>
        <w:ind w:left="-5"/>
      </w:pPr>
      <w:r>
        <w:t>I</w:t>
      </w:r>
      <w:r w:rsidRPr="00C5101B">
        <w:t xml:space="preserve">nspections were carried out on </w:t>
      </w:r>
      <w:r>
        <w:t>biologically valuable forest stands found Woodland Key Habitats</w:t>
      </w:r>
      <w:r w:rsidRPr="004B3545">
        <w:t xml:space="preserve"> in </w:t>
      </w:r>
      <w:r>
        <w:t>7</w:t>
      </w:r>
      <w:r w:rsidRPr="004B3545">
        <w:t>% of cases</w:t>
      </w:r>
      <w:r>
        <w:t xml:space="preserve"> in 2018 and 9% of cases in 2019.</w:t>
      </w:r>
    </w:p>
    <w:p w14:paraId="6992EA8B" w14:textId="77777777" w:rsidR="005E4B02" w:rsidRPr="005E4B02" w:rsidRDefault="005E4B02" w:rsidP="005E4B02"/>
    <w:p w14:paraId="2F24663D" w14:textId="78E82A7E" w:rsidR="00187F41" w:rsidRDefault="00187F41" w:rsidP="00187F41">
      <w:pPr>
        <w:pStyle w:val="Virsraksts2"/>
      </w:pPr>
      <w:bookmarkStart w:id="62" w:name="_Toc412646227"/>
      <w:bookmarkStart w:id="63" w:name="_Toc454366485"/>
      <w:r>
        <w:t>New risk ratings and mitigation measures</w:t>
      </w:r>
      <w:bookmarkEnd w:id="62"/>
      <w:bookmarkEnd w:id="63"/>
    </w:p>
    <w:p w14:paraId="39C7019C" w14:textId="44F6AA5D" w:rsidR="00B903C4" w:rsidRDefault="00153608" w:rsidP="00B903C4">
      <w:pPr>
        <w:spacing w:after="557"/>
        <w:ind w:left="-5"/>
      </w:pPr>
      <w:r w:rsidRPr="00153608">
        <w:t>No new risk assessments and mitigation measures have been taken</w:t>
      </w:r>
      <w:r w:rsidR="00B903C4">
        <w:t xml:space="preserve">  </w:t>
      </w:r>
    </w:p>
    <w:p w14:paraId="32A30D8B" w14:textId="6EE5E787" w:rsidR="00187F41" w:rsidRDefault="00187F41" w:rsidP="00187F41">
      <w:pPr>
        <w:pStyle w:val="Virsraksts2"/>
      </w:pPr>
      <w:bookmarkStart w:id="64" w:name="_Toc412646228"/>
      <w:bookmarkStart w:id="65" w:name="_Toc454366486"/>
      <w:r>
        <w:t>Actual figures for feedstock over the previous 12 months</w:t>
      </w:r>
      <w:bookmarkEnd w:id="64"/>
      <w:bookmarkEnd w:id="65"/>
    </w:p>
    <w:p w14:paraId="04F02A12" w14:textId="462C87B1" w:rsidR="00153608" w:rsidRPr="00153608" w:rsidRDefault="00153608" w:rsidP="007E2FAF">
      <w:pPr>
        <w:spacing w:after="557"/>
        <w:ind w:left="-5"/>
      </w:pPr>
      <w:r>
        <w:t xml:space="preserve">01 January – 31 December </w:t>
      </w:r>
      <w:proofErr w:type="gramStart"/>
      <w:r>
        <w:t>2019 :</w:t>
      </w:r>
      <w:proofErr w:type="gramEnd"/>
      <w:r>
        <w:t xml:space="preserve"> </w:t>
      </w:r>
      <w:r w:rsidR="007E2FAF">
        <w:t xml:space="preserve">0-200 000 </w:t>
      </w:r>
      <w:r>
        <w:t xml:space="preserve">m3  </w:t>
      </w:r>
    </w:p>
    <w:p w14:paraId="4B18C7CD" w14:textId="77777777" w:rsidR="00187F41" w:rsidRDefault="00187F41" w:rsidP="00187F41">
      <w:pPr>
        <w:pStyle w:val="Virsraksts2"/>
      </w:pPr>
      <w:bookmarkStart w:id="66" w:name="_Toc412646229"/>
      <w:bookmarkStart w:id="67" w:name="_Toc454366487"/>
      <w:r>
        <w:t>Projected figures for feedstock over the next 12 months</w:t>
      </w:r>
      <w:bookmarkEnd w:id="66"/>
      <w:bookmarkEnd w:id="67"/>
    </w:p>
    <w:p w14:paraId="35A7E109" w14:textId="732C1EC3" w:rsidR="007E2FAF" w:rsidRPr="00153608" w:rsidRDefault="007E2FAF" w:rsidP="007E2FAF">
      <w:pPr>
        <w:spacing w:after="557"/>
        <w:ind w:left="-5"/>
      </w:pPr>
      <w:r>
        <w:t xml:space="preserve">01 January – 31 December </w:t>
      </w:r>
      <w:proofErr w:type="gramStart"/>
      <w:r>
        <w:t>2020 :</w:t>
      </w:r>
      <w:proofErr w:type="gramEnd"/>
      <w:r>
        <w:t xml:space="preserve"> 0-200 000 m3  </w:t>
      </w:r>
    </w:p>
    <w:p w14:paraId="2F1453EA" w14:textId="77777777" w:rsidR="00187F41" w:rsidRDefault="00187F41" w:rsidP="00187F41">
      <w:pPr>
        <w:rPr>
          <w:i/>
        </w:rPr>
      </w:pPr>
    </w:p>
    <w:sectPr w:rsidR="00187F41" w:rsidSect="00ED692D">
      <w:headerReference w:type="even" r:id="rId31"/>
      <w:headerReference w:type="first" r:id="rId32"/>
      <w:pgSz w:w="11906" w:h="16838"/>
      <w:pgMar w:top="2370" w:right="1134" w:bottom="1134" w:left="1134" w:header="113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AD415" w14:textId="77777777" w:rsidR="00FA44FA" w:rsidRDefault="00FA44FA" w:rsidP="004309B9">
      <w:r>
        <w:separator/>
      </w:r>
    </w:p>
  </w:endnote>
  <w:endnote w:type="continuationSeparator" w:id="0">
    <w:p w14:paraId="7A72086B" w14:textId="77777777" w:rsidR="00FA44FA" w:rsidRDefault="00FA44FA"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71399" w14:textId="4BE75B7C" w:rsidR="00FA44FA" w:rsidRPr="0060397E" w:rsidRDefault="00FA44FA" w:rsidP="004309B9">
    <w:pPr>
      <w:pStyle w:val="Kjene"/>
    </w:pPr>
    <w:r>
      <w:t>SBP Framework Supply Base Report: Template for BPs</w:t>
    </w:r>
    <w:r>
      <w:tab/>
      <w:t xml:space="preserve"> v1.3</w:t>
    </w:r>
    <w:r>
      <w:tab/>
    </w:r>
    <w:r w:rsidRPr="0060397E">
      <w:t xml:space="preserve">Page </w:t>
    </w:r>
    <w:sdt>
      <w:sdtPr>
        <w:id w:val="596143319"/>
        <w:docPartObj>
          <w:docPartGallery w:val="Page Numbers (Bottom of Page)"/>
          <w:docPartUnique/>
        </w:docPartObj>
      </w:sdtPr>
      <w:sdtEndPr/>
      <w:sdtContent>
        <w:r>
          <w:fldChar w:fldCharType="begin"/>
        </w:r>
        <w:r>
          <w:instrText xml:space="preserve"> PAGE   \* MERGEFORMAT </w:instrText>
        </w:r>
        <w:r>
          <w:fldChar w:fldCharType="separate"/>
        </w:r>
        <w:r>
          <w:rPr>
            <w:noProof/>
          </w:rPr>
          <w:t>16</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13439" w14:textId="77777777" w:rsidR="00FA44FA" w:rsidRDefault="00FA44FA" w:rsidP="004309B9">
    <w:pPr>
      <w:pStyle w:val="Kjene"/>
    </w:pPr>
    <w:r>
      <w:rPr>
        <w:noProof/>
        <w:lang w:val="en-US"/>
      </w:rPr>
      <w:drawing>
        <wp:anchor distT="0" distB="0" distL="114300" distR="114300" simplePos="0" relativeHeight="251658240" behindDoc="0" locked="0" layoutInCell="1" allowOverlap="1" wp14:anchorId="5EB14EC4" wp14:editId="53279A35">
          <wp:simplePos x="0" y="0"/>
          <wp:positionH relativeFrom="page">
            <wp:posOffset>-71755</wp:posOffset>
          </wp:positionH>
          <wp:positionV relativeFrom="page">
            <wp:align>bottom</wp:align>
          </wp:positionV>
          <wp:extent cx="7648575" cy="1209675"/>
          <wp:effectExtent l="19050" t="0" r="9525" b="0"/>
          <wp:wrapNone/>
          <wp:docPr id="15" name="Picture 15" descr="C:\Users\jon.hurley.SWITCH\Desktop\sbp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hurley.SWITCH\Desktop\sbpfooter2.png"/>
                  <pic:cNvPicPr>
                    <a:picLocks noChangeAspect="1" noChangeArrowheads="1"/>
                  </pic:cNvPicPr>
                </pic:nvPicPr>
                <pic:blipFill>
                  <a:blip r:embed="rId1" cstate="print"/>
                  <a:srcRect/>
                  <a:stretch>
                    <a:fillRect/>
                  </a:stretch>
                </pic:blipFill>
                <pic:spPr bwMode="auto">
                  <a:xfrm>
                    <a:off x="0" y="0"/>
                    <a:ext cx="7648575" cy="1209675"/>
                  </a:xfrm>
                  <a:prstGeom prst="rect">
                    <a:avLst/>
                  </a:prstGeom>
                  <a:noFill/>
                  <a:ln w="9525">
                    <a:noFill/>
                    <a:miter lim="800000"/>
                    <a:headEnd/>
                    <a:tailEnd/>
                  </a:ln>
                </pic:spPr>
              </pic:pic>
            </a:graphicData>
          </a:graphic>
        </wp:anchor>
      </w:drawing>
    </w:r>
    <w:r w:rsidRPr="00836D4B">
      <w:rPr>
        <w:noProof/>
        <w:lang w:val="en-US"/>
      </w:rPr>
      <w:drawing>
        <wp:anchor distT="0" distB="0" distL="114300" distR="114300" simplePos="0" relativeHeight="251660288" behindDoc="0" locked="0" layoutInCell="1" allowOverlap="1" wp14:anchorId="3153B766" wp14:editId="73AF9D37">
          <wp:simplePos x="0" y="0"/>
          <wp:positionH relativeFrom="page">
            <wp:posOffset>-46990</wp:posOffset>
          </wp:positionH>
          <wp:positionV relativeFrom="page">
            <wp:posOffset>8809990</wp:posOffset>
          </wp:positionV>
          <wp:extent cx="7610475" cy="733425"/>
          <wp:effectExtent l="19050" t="0" r="9525" b="0"/>
          <wp:wrapNone/>
          <wp:docPr id="16" name="Picture 6"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hurley.SWITCH\Desktop\clouds.png"/>
                  <pic:cNvPicPr>
                    <a:picLocks noChangeAspect="1" noChangeArrowheads="1"/>
                  </pic:cNvPicPr>
                </pic:nvPicPr>
                <pic:blipFill>
                  <a:blip r:embed="rId2" cstate="print"/>
                  <a:srcRect/>
                  <a:stretch>
                    <a:fillRect/>
                  </a:stretch>
                </pic:blipFill>
                <pic:spPr bwMode="auto">
                  <a:xfrm>
                    <a:off x="0" y="0"/>
                    <a:ext cx="7610475" cy="7334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C5285" w14:textId="77777777" w:rsidR="00FA44FA" w:rsidRDefault="00FA44FA" w:rsidP="004309B9">
      <w:r>
        <w:separator/>
      </w:r>
    </w:p>
  </w:footnote>
  <w:footnote w:type="continuationSeparator" w:id="0">
    <w:p w14:paraId="1394F43E" w14:textId="77777777" w:rsidR="00FA44FA" w:rsidRDefault="00FA44FA" w:rsidP="0043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B584" w14:textId="34322BDF" w:rsidR="00FA44FA" w:rsidRPr="008104ED" w:rsidRDefault="00FA44FA" w:rsidP="004309B9">
    <w:pPr>
      <w:pStyle w:val="Galvene"/>
      <w:rPr>
        <w:rFonts w:asciiTheme="majorHAnsi" w:hAnsiTheme="majorHAnsi"/>
        <w:color w:val="8AB059"/>
        <w:sz w:val="28"/>
        <w:szCs w:val="28"/>
      </w:rPr>
    </w:pPr>
    <w:r>
      <w:rPr>
        <w:noProof/>
        <w:lang w:val="en-US"/>
      </w:rPr>
      <w:drawing>
        <wp:anchor distT="0" distB="0" distL="114300" distR="114300" simplePos="0" relativeHeight="251670528" behindDoc="0" locked="0" layoutInCell="1" allowOverlap="1" wp14:anchorId="03C9E86D" wp14:editId="2E1EC3A3">
          <wp:simplePos x="0" y="0"/>
          <wp:positionH relativeFrom="column">
            <wp:posOffset>5046968</wp:posOffset>
          </wp:positionH>
          <wp:positionV relativeFrom="paragraph">
            <wp:posOffset>-566017</wp:posOffset>
          </wp:positionV>
          <wp:extent cx="1482090" cy="862852"/>
          <wp:effectExtent l="0" t="0" r="3810" b="0"/>
          <wp:wrapNone/>
          <wp:docPr id="19" name="Picture 19"/>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090" cy="8628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04ED">
      <w:rPr>
        <w:rFonts w:asciiTheme="majorHAnsi" w:hAnsiTheme="majorHAnsi"/>
        <w:noProof/>
        <w:color w:val="8AB059"/>
        <w:sz w:val="28"/>
        <w:szCs w:val="28"/>
        <w:lang w:val="en-US"/>
      </w:rPr>
      <w:drawing>
        <wp:anchor distT="0" distB="0" distL="114300" distR="114300" simplePos="0" relativeHeight="251663360" behindDoc="0" locked="0" layoutInCell="1" allowOverlap="1" wp14:anchorId="4E409AAD" wp14:editId="3325C923">
          <wp:simplePos x="0" y="0"/>
          <wp:positionH relativeFrom="page">
            <wp:posOffset>-518160</wp:posOffset>
          </wp:positionH>
          <wp:positionV relativeFrom="page">
            <wp:posOffset>-381635</wp:posOffset>
          </wp:positionV>
          <wp:extent cx="8543925" cy="819150"/>
          <wp:effectExtent l="19050" t="0" r="9525" b="0"/>
          <wp:wrapNone/>
          <wp:docPr id="13" name="Picture 8"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hurley.SWITCH\Desktop\clouds.png"/>
                  <pic:cNvPicPr>
                    <a:picLocks noChangeAspect="1" noChangeArrowheads="1"/>
                  </pic:cNvPicPr>
                </pic:nvPicPr>
                <pic:blipFill>
                  <a:blip r:embed="rId2" cstate="print"/>
                  <a:srcRect/>
                  <a:stretch>
                    <a:fillRect/>
                  </a:stretch>
                </pic:blipFill>
                <pic:spPr bwMode="auto">
                  <a:xfrm>
                    <a:off x="0" y="0"/>
                    <a:ext cx="8543925" cy="819150"/>
                  </a:xfrm>
                  <a:prstGeom prst="rect">
                    <a:avLst/>
                  </a:prstGeom>
                  <a:noFill/>
                  <a:ln w="9525">
                    <a:noFill/>
                    <a:miter lim="800000"/>
                    <a:headEnd/>
                    <a:tailEnd/>
                  </a:ln>
                </pic:spPr>
              </pic:pic>
            </a:graphicData>
          </a:graphic>
        </wp:anchor>
      </w:drawing>
    </w:r>
    <w:r>
      <w:rPr>
        <w:rFonts w:asciiTheme="majorHAnsi" w:hAnsiTheme="majorHAnsi"/>
        <w:noProof/>
        <w:color w:val="8AB059"/>
        <w:sz w:val="28"/>
        <w:szCs w:val="28"/>
        <w:lang w:val="en-US"/>
      </w:rPr>
      <mc:AlternateContent>
        <mc:Choice Requires="wps">
          <w:drawing>
            <wp:anchor distT="0" distB="0" distL="114300" distR="114300" simplePos="0" relativeHeight="251661312" behindDoc="1" locked="0" layoutInCell="1" allowOverlap="1" wp14:anchorId="41FDAA42" wp14:editId="3B796D9C">
              <wp:simplePos x="0" y="0"/>
              <wp:positionH relativeFrom="page">
                <wp:posOffset>0</wp:posOffset>
              </wp:positionH>
              <wp:positionV relativeFrom="page">
                <wp:posOffset>-9525</wp:posOffset>
              </wp:positionV>
              <wp:extent cx="7560310" cy="1080135"/>
              <wp:effectExtent l="0" t="0" r="254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D9E9E2"/>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180E06E" id="Rectangle 2" o:spid="_x0000_s1026" style="position:absolute;margin-left:0;margin-top:-.75pt;width:595.3pt;height:8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" fillcolor="#d9e9e2" stroked="f">
              <w10:wrap anchorx="page" anchory="page"/>
            </v:rect>
          </w:pict>
        </mc:Fallback>
      </mc:AlternateContent>
    </w:r>
    <w:r w:rsidRPr="008104ED">
      <w:rPr>
        <w:rFonts w:asciiTheme="majorHAnsi" w:hAnsiTheme="majorHAnsi"/>
        <w:color w:val="8AB059"/>
        <w:sz w:val="28"/>
        <w:szCs w:val="28"/>
      </w:rPr>
      <w:t>Focusing on sustainable sourcing solutions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699B" w14:textId="75725D98" w:rsidR="00FA44FA" w:rsidRDefault="00FA44FA" w:rsidP="004309B9">
    <w:pPr>
      <w:pStyle w:val="Galvene"/>
    </w:pPr>
    <w:r>
      <w:rPr>
        <w:noProof/>
        <w:lang w:val="en-US"/>
      </w:rPr>
      <w:drawing>
        <wp:anchor distT="0" distB="0" distL="114300" distR="114300" simplePos="0" relativeHeight="251668480" behindDoc="0" locked="0" layoutInCell="1" allowOverlap="1" wp14:anchorId="3F7D7DFD" wp14:editId="6208EA4C">
          <wp:simplePos x="0" y="0"/>
          <wp:positionH relativeFrom="column">
            <wp:posOffset>4485652</wp:posOffset>
          </wp:positionH>
          <wp:positionV relativeFrom="paragraph">
            <wp:posOffset>-566181</wp:posOffset>
          </wp:positionV>
          <wp:extent cx="2098040" cy="12636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040" cy="1263650"/>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57215" behindDoc="0" locked="0" layoutInCell="1" allowOverlap="1" wp14:anchorId="3C6EC606" wp14:editId="00AFB18B">
              <wp:simplePos x="0" y="0"/>
              <wp:positionH relativeFrom="page">
                <wp:posOffset>0</wp:posOffset>
              </wp:positionH>
              <wp:positionV relativeFrom="page">
                <wp:posOffset>0</wp:posOffset>
              </wp:positionV>
              <wp:extent cx="7610475" cy="1075372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D4046E1" id="Rectangle 1" o:spid="_x0000_s1026" style="position:absolute;margin-left:0;margin-top:0;width:599.25pt;height:846.7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IzLo2gyAgAAJwQAAA4AAAAAAAAAAAAAAAAA&#10;LgIAAGRycy9lMm9Eb2MueG1sUEsBAi0AFAAGAAgAAAAhAJMQp8rfAAAABwEAAA8AAAAAAAAAAAAA&#10;AAAAjAQAAGRycy9kb3ducmV2LnhtbFBLBQYAAAAABAAEAPMAAACYBQAAAAA=&#10;" fillcolor="#d9e9e2"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14BBD" w14:textId="77777777" w:rsidR="00FA44FA" w:rsidRDefault="00FA44FA">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25C6B" w14:textId="77777777" w:rsidR="00FA44FA" w:rsidRDefault="00FA44FA" w:rsidP="004309B9">
    <w:pPr>
      <w:pStyle w:val="Galvene"/>
    </w:pPr>
    <w:r>
      <w:rPr>
        <w:noProof/>
        <w:lang w:val="en-US"/>
      </w:rPr>
      <mc:AlternateContent>
        <mc:Choice Requires="wps">
          <w:drawing>
            <wp:anchor distT="0" distB="0" distL="114300" distR="114300" simplePos="0" relativeHeight="251665408" behindDoc="0" locked="0" layoutInCell="1" allowOverlap="1" wp14:anchorId="332F4D07" wp14:editId="38AADDBC">
              <wp:simplePos x="0" y="0"/>
              <wp:positionH relativeFrom="page">
                <wp:posOffset>0</wp:posOffset>
              </wp:positionH>
              <wp:positionV relativeFrom="page">
                <wp:posOffset>0</wp:posOffset>
              </wp:positionV>
              <wp:extent cx="7610475" cy="107537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BA70C05" id="Rectangle 3" o:spid="_x0000_s1026" style="position:absolute;margin-left:0;margin-top:0;width:599.25pt;height:84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CTPzuwyAgAAJwQAAA4AAAAAAAAAAAAAAAAA&#10;LgIAAGRycy9lMm9Eb2MueG1sUEsBAi0AFAAGAAgAAAAhAJMQp8rfAAAABwEAAA8AAAAAAAAAAAAA&#10;AAAAjAQAAGRycy9kb3ducmV2LnhtbFBLBQYAAAAABAAEAPMAAACYBQAAAAA=&#10;" fillcolor="#d9e9e2" stroked="f">
              <w10:wrap anchorx="page" anchory="page"/>
            </v:rect>
          </w:pict>
        </mc:Fallback>
      </mc:AlternateContent>
    </w:r>
    <w:r>
      <w:rPr>
        <w:noProof/>
        <w:lang w:val="en-US"/>
      </w:rPr>
      <w:drawing>
        <wp:anchor distT="0" distB="0" distL="114300" distR="114300" simplePos="0" relativeHeight="251666432" behindDoc="0" locked="0" layoutInCell="1" allowOverlap="1" wp14:anchorId="0E09471F" wp14:editId="14FA313A">
          <wp:simplePos x="0" y="0"/>
          <wp:positionH relativeFrom="page">
            <wp:posOffset>4208780</wp:posOffset>
          </wp:positionH>
          <wp:positionV relativeFrom="page">
            <wp:posOffset>446405</wp:posOffset>
          </wp:positionV>
          <wp:extent cx="2857500" cy="1114425"/>
          <wp:effectExtent l="19050" t="0" r="0" b="0"/>
          <wp:wrapNone/>
          <wp:docPr id="12" name="Picture 2"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0CDB"/>
    <w:multiLevelType w:val="hybridMultilevel"/>
    <w:tmpl w:val="A68E116E"/>
    <w:lvl w:ilvl="0" w:tplc="F3049C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60138"/>
    <w:multiLevelType w:val="hybridMultilevel"/>
    <w:tmpl w:val="F9E0A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DD2713"/>
    <w:multiLevelType w:val="hybridMultilevel"/>
    <w:tmpl w:val="9EBACD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7B0115"/>
    <w:multiLevelType w:val="hybridMultilevel"/>
    <w:tmpl w:val="6EAE8D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CE1D84"/>
    <w:multiLevelType w:val="hybridMultilevel"/>
    <w:tmpl w:val="2022007C"/>
    <w:lvl w:ilvl="0" w:tplc="138662B0">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E2C5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72537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103B7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AE8B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B0FBF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9676B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28DF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36379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0A50DE6"/>
    <w:multiLevelType w:val="hybridMultilevel"/>
    <w:tmpl w:val="A7AE61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Virsraksts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027C2A"/>
    <w:multiLevelType w:val="hybridMultilevel"/>
    <w:tmpl w:val="F4A4DA64"/>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7A1E5736">
      <w:start w:val="1"/>
      <w:numFmt w:val="decimal"/>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64D0D51"/>
    <w:multiLevelType w:val="hybridMultilevel"/>
    <w:tmpl w:val="80D04B96"/>
    <w:lvl w:ilvl="0" w:tplc="08090019">
      <w:start w:val="1"/>
      <w:numFmt w:val="lowerLetter"/>
      <w:lvlText w:val="%1."/>
      <w:lvlJc w:val="left"/>
      <w:pPr>
        <w:ind w:left="360" w:hanging="360"/>
      </w:pPr>
    </w:lvl>
    <w:lvl w:ilvl="1" w:tplc="28F823DA">
      <w:start w:val="8"/>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F854F4"/>
    <w:multiLevelType w:val="hybridMultilevel"/>
    <w:tmpl w:val="9F0C38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33B67C11"/>
    <w:multiLevelType w:val="hybridMultilevel"/>
    <w:tmpl w:val="F222BE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324F5"/>
    <w:multiLevelType w:val="hybridMultilevel"/>
    <w:tmpl w:val="22602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4BA4A88"/>
    <w:multiLevelType w:val="hybridMultilevel"/>
    <w:tmpl w:val="15326008"/>
    <w:lvl w:ilvl="0" w:tplc="959C020A">
      <w:start w:val="1"/>
      <w:numFmt w:val="bullet"/>
      <w:lvlText w:val="•"/>
      <w:lvlJc w:val="left"/>
      <w:pPr>
        <w:ind w:left="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224BC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7A430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30E5B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28940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AE22F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F25D0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843D3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8AFAC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E34639"/>
    <w:multiLevelType w:val="hybridMultilevel"/>
    <w:tmpl w:val="97BC8F0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984180E"/>
    <w:multiLevelType w:val="hybridMultilevel"/>
    <w:tmpl w:val="196468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E927B8E"/>
    <w:multiLevelType w:val="hybridMultilevel"/>
    <w:tmpl w:val="C0DAF6EA"/>
    <w:lvl w:ilvl="0" w:tplc="4524C9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70D1C"/>
    <w:multiLevelType w:val="hybridMultilevel"/>
    <w:tmpl w:val="41BC1800"/>
    <w:lvl w:ilvl="0" w:tplc="04260001">
      <w:start w:val="1"/>
      <w:numFmt w:val="bullet"/>
      <w:lvlText w:val=""/>
      <w:lvlJc w:val="left"/>
      <w:pPr>
        <w:ind w:left="705" w:hanging="360"/>
      </w:pPr>
      <w:rPr>
        <w:rFonts w:ascii="Symbol" w:hAnsi="Symbol" w:hint="default"/>
      </w:rPr>
    </w:lvl>
    <w:lvl w:ilvl="1" w:tplc="04260003" w:tentative="1">
      <w:start w:val="1"/>
      <w:numFmt w:val="bullet"/>
      <w:lvlText w:val="o"/>
      <w:lvlJc w:val="left"/>
      <w:pPr>
        <w:ind w:left="1425" w:hanging="360"/>
      </w:pPr>
      <w:rPr>
        <w:rFonts w:ascii="Courier New" w:hAnsi="Courier New" w:cs="Courier New" w:hint="default"/>
      </w:rPr>
    </w:lvl>
    <w:lvl w:ilvl="2" w:tplc="04260005" w:tentative="1">
      <w:start w:val="1"/>
      <w:numFmt w:val="bullet"/>
      <w:lvlText w:val=""/>
      <w:lvlJc w:val="left"/>
      <w:pPr>
        <w:ind w:left="2145" w:hanging="360"/>
      </w:pPr>
      <w:rPr>
        <w:rFonts w:ascii="Wingdings" w:hAnsi="Wingdings" w:hint="default"/>
      </w:rPr>
    </w:lvl>
    <w:lvl w:ilvl="3" w:tplc="04260001" w:tentative="1">
      <w:start w:val="1"/>
      <w:numFmt w:val="bullet"/>
      <w:lvlText w:val=""/>
      <w:lvlJc w:val="left"/>
      <w:pPr>
        <w:ind w:left="2865" w:hanging="360"/>
      </w:pPr>
      <w:rPr>
        <w:rFonts w:ascii="Symbol" w:hAnsi="Symbol" w:hint="default"/>
      </w:rPr>
    </w:lvl>
    <w:lvl w:ilvl="4" w:tplc="04260003" w:tentative="1">
      <w:start w:val="1"/>
      <w:numFmt w:val="bullet"/>
      <w:lvlText w:val="o"/>
      <w:lvlJc w:val="left"/>
      <w:pPr>
        <w:ind w:left="3585" w:hanging="360"/>
      </w:pPr>
      <w:rPr>
        <w:rFonts w:ascii="Courier New" w:hAnsi="Courier New" w:cs="Courier New" w:hint="default"/>
      </w:rPr>
    </w:lvl>
    <w:lvl w:ilvl="5" w:tplc="04260005" w:tentative="1">
      <w:start w:val="1"/>
      <w:numFmt w:val="bullet"/>
      <w:lvlText w:val=""/>
      <w:lvlJc w:val="left"/>
      <w:pPr>
        <w:ind w:left="4305" w:hanging="360"/>
      </w:pPr>
      <w:rPr>
        <w:rFonts w:ascii="Wingdings" w:hAnsi="Wingdings" w:hint="default"/>
      </w:rPr>
    </w:lvl>
    <w:lvl w:ilvl="6" w:tplc="04260001" w:tentative="1">
      <w:start w:val="1"/>
      <w:numFmt w:val="bullet"/>
      <w:lvlText w:val=""/>
      <w:lvlJc w:val="left"/>
      <w:pPr>
        <w:ind w:left="5025" w:hanging="360"/>
      </w:pPr>
      <w:rPr>
        <w:rFonts w:ascii="Symbol" w:hAnsi="Symbol" w:hint="default"/>
      </w:rPr>
    </w:lvl>
    <w:lvl w:ilvl="7" w:tplc="04260003" w:tentative="1">
      <w:start w:val="1"/>
      <w:numFmt w:val="bullet"/>
      <w:lvlText w:val="o"/>
      <w:lvlJc w:val="left"/>
      <w:pPr>
        <w:ind w:left="5745" w:hanging="360"/>
      </w:pPr>
      <w:rPr>
        <w:rFonts w:ascii="Courier New" w:hAnsi="Courier New" w:cs="Courier New" w:hint="default"/>
      </w:rPr>
    </w:lvl>
    <w:lvl w:ilvl="8" w:tplc="04260005" w:tentative="1">
      <w:start w:val="1"/>
      <w:numFmt w:val="bullet"/>
      <w:lvlText w:val=""/>
      <w:lvlJc w:val="left"/>
      <w:pPr>
        <w:ind w:left="6465" w:hanging="360"/>
      </w:pPr>
      <w:rPr>
        <w:rFonts w:ascii="Wingdings" w:hAnsi="Wingdings" w:hint="default"/>
      </w:rPr>
    </w:lvl>
  </w:abstractNum>
  <w:abstractNum w:abstractNumId="19" w15:restartNumberingAfterBreak="0">
    <w:nsid w:val="53E8255D"/>
    <w:multiLevelType w:val="hybridMultilevel"/>
    <w:tmpl w:val="45960FAE"/>
    <w:lvl w:ilvl="0" w:tplc="DAFC8002">
      <w:start w:val="1"/>
      <w:numFmt w:val="bullet"/>
      <w:pStyle w:val="Sarakstarindkop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C73E5"/>
    <w:multiLevelType w:val="multilevel"/>
    <w:tmpl w:val="CFF6B8BA"/>
    <w:lvl w:ilvl="0">
      <w:start w:val="1"/>
      <w:numFmt w:val="decimal"/>
      <w:pStyle w:val="Virsraksts1"/>
      <w:lvlText w:val="%1"/>
      <w:lvlJc w:val="left"/>
      <w:pPr>
        <w:ind w:left="360" w:hanging="360"/>
      </w:pPr>
      <w:rPr>
        <w:rFonts w:hint="default"/>
      </w:rPr>
    </w:lvl>
    <w:lvl w:ilvl="1">
      <w:start w:val="1"/>
      <w:numFmt w:val="decimal"/>
      <w:pStyle w:val="Virsraksts2"/>
      <w:lvlText w:val="%1.%2"/>
      <w:lvlJc w:val="left"/>
      <w:pPr>
        <w:ind w:left="720" w:hanging="360"/>
      </w:pPr>
      <w:rPr>
        <w:rFonts w:hint="default"/>
      </w:rPr>
    </w:lvl>
    <w:lvl w:ilvl="2">
      <w:start w:val="1"/>
      <w:numFmt w:val="decimal"/>
      <w:pStyle w:val="Virsraksts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2436AA2"/>
    <w:multiLevelType w:val="hybridMultilevel"/>
    <w:tmpl w:val="53BCE6C0"/>
    <w:lvl w:ilvl="0" w:tplc="0809000F">
      <w:start w:val="1"/>
      <w:numFmt w:val="decimal"/>
      <w:lvlText w:val="%1."/>
      <w:lvlJc w:val="left"/>
      <w:pPr>
        <w:ind w:left="720" w:hanging="360"/>
      </w:pPr>
    </w:lvl>
    <w:lvl w:ilvl="1" w:tplc="445CECA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3315F6"/>
    <w:multiLevelType w:val="hybridMultilevel"/>
    <w:tmpl w:val="77C89FF4"/>
    <w:lvl w:ilvl="0" w:tplc="0426000F">
      <w:start w:val="1"/>
      <w:numFmt w:val="decimal"/>
      <w:lvlText w:val="%1."/>
      <w:lvlJc w:val="left"/>
      <w:pPr>
        <w:ind w:left="705" w:hanging="360"/>
      </w:pPr>
    </w:lvl>
    <w:lvl w:ilvl="1" w:tplc="04260019" w:tentative="1">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23" w15:restartNumberingAfterBreak="0">
    <w:nsid w:val="6B753836"/>
    <w:multiLevelType w:val="hybridMultilevel"/>
    <w:tmpl w:val="166E002C"/>
    <w:lvl w:ilvl="0" w:tplc="B3F8E2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454C16"/>
    <w:multiLevelType w:val="hybridMultilevel"/>
    <w:tmpl w:val="593C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954EEF"/>
    <w:multiLevelType w:val="hybridMultilevel"/>
    <w:tmpl w:val="CC7AF41A"/>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1"/>
  </w:num>
  <w:num w:numId="3">
    <w:abstractNumId w:val="25"/>
  </w:num>
  <w:num w:numId="4">
    <w:abstractNumId w:val="8"/>
  </w:num>
  <w:num w:numId="5">
    <w:abstractNumId w:val="7"/>
  </w:num>
  <w:num w:numId="6">
    <w:abstractNumId w:val="11"/>
  </w:num>
  <w:num w:numId="7">
    <w:abstractNumId w:val="19"/>
  </w:num>
  <w:num w:numId="8">
    <w:abstractNumId w:val="10"/>
  </w:num>
  <w:num w:numId="9">
    <w:abstractNumId w:val="13"/>
  </w:num>
  <w:num w:numId="10">
    <w:abstractNumId w:val="5"/>
  </w:num>
  <w:num w:numId="11">
    <w:abstractNumId w:val="20"/>
  </w:num>
  <w:num w:numId="12">
    <w:abstractNumId w:val="12"/>
  </w:num>
  <w:num w:numId="13">
    <w:abstractNumId w:val="24"/>
  </w:num>
  <w:num w:numId="14">
    <w:abstractNumId w:val="9"/>
  </w:num>
  <w:num w:numId="15">
    <w:abstractNumId w:val="23"/>
  </w:num>
  <w:num w:numId="16">
    <w:abstractNumId w:val="17"/>
  </w:num>
  <w:num w:numId="17">
    <w:abstractNumId w:val="14"/>
  </w:num>
  <w:num w:numId="18">
    <w:abstractNumId w:val="4"/>
  </w:num>
  <w:num w:numId="19">
    <w:abstractNumId w:val="16"/>
  </w:num>
  <w:num w:numId="20">
    <w:abstractNumId w:val="1"/>
  </w:num>
  <w:num w:numId="21">
    <w:abstractNumId w:val="18"/>
  </w:num>
  <w:num w:numId="22">
    <w:abstractNumId w:val="22"/>
  </w:num>
  <w:num w:numId="23">
    <w:abstractNumId w:val="2"/>
  </w:num>
  <w:num w:numId="24">
    <w:abstractNumId w:val="6"/>
  </w:num>
  <w:num w:numId="25">
    <w:abstractNumId w:val="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9C"/>
    <w:rsid w:val="00036E79"/>
    <w:rsid w:val="00065453"/>
    <w:rsid w:val="00066C40"/>
    <w:rsid w:val="000744F2"/>
    <w:rsid w:val="0007597E"/>
    <w:rsid w:val="000D0359"/>
    <w:rsid w:val="000F1E79"/>
    <w:rsid w:val="00123E39"/>
    <w:rsid w:val="00153608"/>
    <w:rsid w:val="001841CA"/>
    <w:rsid w:val="00187F41"/>
    <w:rsid w:val="001A1551"/>
    <w:rsid w:val="001A6032"/>
    <w:rsid w:val="001A7145"/>
    <w:rsid w:val="001D5D61"/>
    <w:rsid w:val="001F6BB7"/>
    <w:rsid w:val="00206BE6"/>
    <w:rsid w:val="002325DF"/>
    <w:rsid w:val="00246571"/>
    <w:rsid w:val="00247CD1"/>
    <w:rsid w:val="002C3F4C"/>
    <w:rsid w:val="002E5E35"/>
    <w:rsid w:val="002E5EBA"/>
    <w:rsid w:val="00300428"/>
    <w:rsid w:val="00301241"/>
    <w:rsid w:val="00303D5F"/>
    <w:rsid w:val="00305ECA"/>
    <w:rsid w:val="00313685"/>
    <w:rsid w:val="0032172F"/>
    <w:rsid w:val="00360FA4"/>
    <w:rsid w:val="003659AA"/>
    <w:rsid w:val="003A3AF6"/>
    <w:rsid w:val="003E50E5"/>
    <w:rsid w:val="003F4716"/>
    <w:rsid w:val="00400B8F"/>
    <w:rsid w:val="004309B9"/>
    <w:rsid w:val="00441BA4"/>
    <w:rsid w:val="004725CE"/>
    <w:rsid w:val="00477B62"/>
    <w:rsid w:val="00493940"/>
    <w:rsid w:val="004B3545"/>
    <w:rsid w:val="004B6DE4"/>
    <w:rsid w:val="004E5B6B"/>
    <w:rsid w:val="005218CE"/>
    <w:rsid w:val="00525583"/>
    <w:rsid w:val="00551D28"/>
    <w:rsid w:val="005734BC"/>
    <w:rsid w:val="00596ECC"/>
    <w:rsid w:val="005B0A2B"/>
    <w:rsid w:val="005D488C"/>
    <w:rsid w:val="005D71D7"/>
    <w:rsid w:val="005E4B02"/>
    <w:rsid w:val="0060397E"/>
    <w:rsid w:val="00603ED2"/>
    <w:rsid w:val="0063539C"/>
    <w:rsid w:val="00694330"/>
    <w:rsid w:val="0069645C"/>
    <w:rsid w:val="006B0350"/>
    <w:rsid w:val="006E104E"/>
    <w:rsid w:val="006F17BF"/>
    <w:rsid w:val="006F6E19"/>
    <w:rsid w:val="00703EEF"/>
    <w:rsid w:val="0072722D"/>
    <w:rsid w:val="00772BEF"/>
    <w:rsid w:val="00780C0F"/>
    <w:rsid w:val="00781DCB"/>
    <w:rsid w:val="0079682A"/>
    <w:rsid w:val="007A4175"/>
    <w:rsid w:val="007A56C4"/>
    <w:rsid w:val="007B4310"/>
    <w:rsid w:val="007C5EAE"/>
    <w:rsid w:val="007E1465"/>
    <w:rsid w:val="007E2D15"/>
    <w:rsid w:val="007E2FAF"/>
    <w:rsid w:val="007F5C61"/>
    <w:rsid w:val="00806F97"/>
    <w:rsid w:val="008104ED"/>
    <w:rsid w:val="008117A1"/>
    <w:rsid w:val="00813162"/>
    <w:rsid w:val="0081780F"/>
    <w:rsid w:val="0083069A"/>
    <w:rsid w:val="0083099F"/>
    <w:rsid w:val="00836D4B"/>
    <w:rsid w:val="00863474"/>
    <w:rsid w:val="008E0555"/>
    <w:rsid w:val="008F6B57"/>
    <w:rsid w:val="00912623"/>
    <w:rsid w:val="00914DF8"/>
    <w:rsid w:val="00931123"/>
    <w:rsid w:val="00966FE2"/>
    <w:rsid w:val="009748F8"/>
    <w:rsid w:val="00980399"/>
    <w:rsid w:val="009813C7"/>
    <w:rsid w:val="009876E0"/>
    <w:rsid w:val="009A0C38"/>
    <w:rsid w:val="009A7974"/>
    <w:rsid w:val="009D5F94"/>
    <w:rsid w:val="009D6F5D"/>
    <w:rsid w:val="00A31A54"/>
    <w:rsid w:val="00A5000C"/>
    <w:rsid w:val="00A66587"/>
    <w:rsid w:val="00A803DE"/>
    <w:rsid w:val="00A96011"/>
    <w:rsid w:val="00AC3979"/>
    <w:rsid w:val="00AD20C5"/>
    <w:rsid w:val="00B017F7"/>
    <w:rsid w:val="00B165D0"/>
    <w:rsid w:val="00B3262B"/>
    <w:rsid w:val="00B32C9A"/>
    <w:rsid w:val="00B42DC1"/>
    <w:rsid w:val="00B508EA"/>
    <w:rsid w:val="00B54978"/>
    <w:rsid w:val="00B76534"/>
    <w:rsid w:val="00B903C4"/>
    <w:rsid w:val="00B94D3B"/>
    <w:rsid w:val="00BA4B08"/>
    <w:rsid w:val="00BB2DD2"/>
    <w:rsid w:val="00BB4A74"/>
    <w:rsid w:val="00BC3042"/>
    <w:rsid w:val="00C032AA"/>
    <w:rsid w:val="00C368BD"/>
    <w:rsid w:val="00C40B23"/>
    <w:rsid w:val="00C5101B"/>
    <w:rsid w:val="00C539D4"/>
    <w:rsid w:val="00C5569B"/>
    <w:rsid w:val="00C604DF"/>
    <w:rsid w:val="00C61C4F"/>
    <w:rsid w:val="00C62321"/>
    <w:rsid w:val="00C72C19"/>
    <w:rsid w:val="00C72E3C"/>
    <w:rsid w:val="00CA06FB"/>
    <w:rsid w:val="00D12356"/>
    <w:rsid w:val="00D37685"/>
    <w:rsid w:val="00D432B7"/>
    <w:rsid w:val="00D66D4A"/>
    <w:rsid w:val="00D74F50"/>
    <w:rsid w:val="00DD6523"/>
    <w:rsid w:val="00DD6D07"/>
    <w:rsid w:val="00DE38D7"/>
    <w:rsid w:val="00DF065C"/>
    <w:rsid w:val="00E44047"/>
    <w:rsid w:val="00E51E05"/>
    <w:rsid w:val="00E54E73"/>
    <w:rsid w:val="00E702AA"/>
    <w:rsid w:val="00E851C5"/>
    <w:rsid w:val="00EA1D4E"/>
    <w:rsid w:val="00EA2109"/>
    <w:rsid w:val="00EA2790"/>
    <w:rsid w:val="00EB2192"/>
    <w:rsid w:val="00EB5937"/>
    <w:rsid w:val="00ED5B1D"/>
    <w:rsid w:val="00ED692D"/>
    <w:rsid w:val="00F04032"/>
    <w:rsid w:val="00F0488C"/>
    <w:rsid w:val="00F249FD"/>
    <w:rsid w:val="00F442AE"/>
    <w:rsid w:val="00F45D4A"/>
    <w:rsid w:val="00F5639C"/>
    <w:rsid w:val="00FA44FA"/>
    <w:rsid w:val="00FB0400"/>
    <w:rsid w:val="00FB28B2"/>
    <w:rsid w:val="00FC432C"/>
    <w:rsid w:val="00FC7363"/>
    <w:rsid w:val="00FE1F9B"/>
    <w:rsid w:val="00FF7D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F5348F7"/>
  <w15:docId w15:val="{363F67AF-5188-4CB7-A43D-44F4556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309B9"/>
    <w:pPr>
      <w:spacing w:line="312" w:lineRule="auto"/>
    </w:pPr>
    <w:rPr>
      <w:sz w:val="20"/>
      <w:szCs w:val="20"/>
    </w:rPr>
  </w:style>
  <w:style w:type="paragraph" w:styleId="Virsraksts1">
    <w:name w:val="heading 1"/>
    <w:next w:val="Parasts"/>
    <w:link w:val="Virsraksts1Rakstz"/>
    <w:uiPriority w:val="9"/>
    <w:qFormat/>
    <w:rsid w:val="007B4310"/>
    <w:pPr>
      <w:keepNext/>
      <w:keepLines/>
      <w:pageBreakBefore/>
      <w:numPr>
        <w:numId w:val="11"/>
      </w:numPr>
      <w:spacing w:before="480" w:after="240"/>
      <w:ind w:left="851" w:hanging="851"/>
      <w:outlineLvl w:val="0"/>
    </w:pPr>
    <w:rPr>
      <w:rFonts w:asciiTheme="majorHAnsi" w:eastAsiaTheme="majorEastAsia" w:hAnsiTheme="majorHAnsi" w:cstheme="majorBidi"/>
      <w:bCs/>
      <w:color w:val="3D946D"/>
      <w:sz w:val="48"/>
      <w:szCs w:val="48"/>
    </w:rPr>
  </w:style>
  <w:style w:type="paragraph" w:styleId="Virsraksts2">
    <w:name w:val="heading 2"/>
    <w:basedOn w:val="Virsraksts1"/>
    <w:next w:val="Parasts"/>
    <w:link w:val="Virsraksts2Rakstz"/>
    <w:uiPriority w:val="9"/>
    <w:unhideWhenUsed/>
    <w:qFormat/>
    <w:rsid w:val="007B4310"/>
    <w:pPr>
      <w:pageBreakBefore w:val="0"/>
      <w:numPr>
        <w:ilvl w:val="1"/>
      </w:numPr>
      <w:spacing w:before="360" w:after="120"/>
      <w:ind w:left="851" w:hanging="851"/>
      <w:outlineLvl w:val="1"/>
    </w:pPr>
    <w:rPr>
      <w:bCs w:val="0"/>
      <w:sz w:val="36"/>
      <w:szCs w:val="36"/>
    </w:rPr>
  </w:style>
  <w:style w:type="paragraph" w:styleId="Virsraksts3">
    <w:name w:val="heading 3"/>
    <w:basedOn w:val="Virsraksts2"/>
    <w:next w:val="Parasts"/>
    <w:link w:val="Virsraksts3Rakstz"/>
    <w:uiPriority w:val="9"/>
    <w:unhideWhenUsed/>
    <w:qFormat/>
    <w:rsid w:val="00F04032"/>
    <w:pPr>
      <w:numPr>
        <w:ilvl w:val="2"/>
      </w:numPr>
      <w:spacing w:before="240"/>
      <w:ind w:left="1701" w:hanging="850"/>
      <w:outlineLvl w:val="2"/>
    </w:pPr>
    <w:rPr>
      <w:bCs/>
      <w:sz w:val="32"/>
      <w:szCs w:val="32"/>
    </w:rPr>
  </w:style>
  <w:style w:type="paragraph" w:styleId="Virsraksts4">
    <w:name w:val="heading 4"/>
    <w:basedOn w:val="Parasts"/>
    <w:next w:val="Parasts"/>
    <w:link w:val="Virsraksts4Rakstz"/>
    <w:uiPriority w:val="9"/>
    <w:unhideWhenUsed/>
    <w:qFormat/>
    <w:rsid w:val="005B0A2B"/>
    <w:pPr>
      <w:keepNext/>
      <w:keepLines/>
      <w:numPr>
        <w:ilvl w:val="2"/>
        <w:numId w:val="5"/>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Virsraksts5">
    <w:name w:val="heading 5"/>
    <w:basedOn w:val="Parasts"/>
    <w:next w:val="Parasts"/>
    <w:link w:val="Virsraksts5Rakstz"/>
    <w:uiPriority w:val="9"/>
    <w:unhideWhenUsed/>
    <w:qFormat/>
    <w:rsid w:val="00360FA4"/>
    <w:pPr>
      <w:keepNext/>
      <w:keepLines/>
      <w:spacing w:before="40" w:after="0"/>
      <w:outlineLvl w:val="4"/>
    </w:pPr>
    <w:rPr>
      <w:rFonts w:asciiTheme="majorHAnsi" w:eastAsiaTheme="majorEastAsia" w:hAnsiTheme="majorHAnsi" w:cstheme="majorBidi"/>
      <w:color w:val="92BDA9"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36D4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836D4B"/>
  </w:style>
  <w:style w:type="paragraph" w:styleId="Kjene">
    <w:name w:val="footer"/>
    <w:basedOn w:val="Parasts"/>
    <w:link w:val="KjeneRakstz"/>
    <w:uiPriority w:val="99"/>
    <w:unhideWhenUsed/>
    <w:rsid w:val="0060397E"/>
    <w:pPr>
      <w:tabs>
        <w:tab w:val="center" w:pos="4513"/>
        <w:tab w:val="right" w:pos="9026"/>
      </w:tabs>
      <w:spacing w:after="0" w:line="240" w:lineRule="auto"/>
      <w:jc w:val="right"/>
    </w:pPr>
    <w:rPr>
      <w:color w:val="3D946D"/>
      <w:sz w:val="18"/>
    </w:rPr>
  </w:style>
  <w:style w:type="character" w:customStyle="1" w:styleId="KjeneRakstz">
    <w:name w:val="Kājene Rakstz."/>
    <w:basedOn w:val="Noklusjumarindkopasfonts"/>
    <w:link w:val="Kjene"/>
    <w:uiPriority w:val="99"/>
    <w:rsid w:val="0060397E"/>
    <w:rPr>
      <w:color w:val="3D946D"/>
      <w:sz w:val="18"/>
      <w:szCs w:val="20"/>
    </w:rPr>
  </w:style>
  <w:style w:type="paragraph" w:styleId="Balonteksts">
    <w:name w:val="Balloon Text"/>
    <w:basedOn w:val="Parasts"/>
    <w:link w:val="BalontekstsRakstz"/>
    <w:uiPriority w:val="99"/>
    <w:semiHidden/>
    <w:unhideWhenUsed/>
    <w:rsid w:val="00836D4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36D4B"/>
    <w:rPr>
      <w:rFonts w:ascii="Tahoma" w:hAnsi="Tahoma" w:cs="Tahoma"/>
      <w:sz w:val="16"/>
      <w:szCs w:val="16"/>
    </w:rPr>
  </w:style>
  <w:style w:type="paragraph" w:styleId="Nosaukums">
    <w:name w:val="Title"/>
    <w:basedOn w:val="Parasts"/>
    <w:next w:val="Parasts"/>
    <w:link w:val="NosaukumsRakstz"/>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NosaukumsRakstz">
    <w:name w:val="Nosaukums Rakstz."/>
    <w:basedOn w:val="Noklusjumarindkopasfonts"/>
    <w:link w:val="Nosaukums"/>
    <w:rsid w:val="00B94D3B"/>
    <w:rPr>
      <w:rFonts w:ascii="Georgia" w:eastAsiaTheme="majorEastAsia" w:hAnsi="Georgia" w:cstheme="majorBidi"/>
      <w:color w:val="3D946D"/>
      <w:spacing w:val="5"/>
      <w:kern w:val="28"/>
      <w:sz w:val="80"/>
      <w:szCs w:val="80"/>
    </w:rPr>
  </w:style>
  <w:style w:type="character" w:customStyle="1" w:styleId="Virsraksts1Rakstz">
    <w:name w:val="Virsraksts 1 Rakstz."/>
    <w:basedOn w:val="Noklusjumarindkopasfonts"/>
    <w:link w:val="Virsraksts1"/>
    <w:uiPriority w:val="9"/>
    <w:rsid w:val="007B4310"/>
    <w:rPr>
      <w:rFonts w:asciiTheme="majorHAnsi" w:eastAsiaTheme="majorEastAsia" w:hAnsiTheme="majorHAnsi" w:cstheme="majorBidi"/>
      <w:bCs/>
      <w:color w:val="3D946D"/>
      <w:sz w:val="48"/>
      <w:szCs w:val="48"/>
    </w:rPr>
  </w:style>
  <w:style w:type="paragraph" w:styleId="Saturardtjavirsraksts">
    <w:name w:val="TOC Heading"/>
    <w:next w:val="Parasts"/>
    <w:uiPriority w:val="39"/>
    <w:unhideWhenUsed/>
    <w:qFormat/>
    <w:rsid w:val="00F04032"/>
    <w:rPr>
      <w:rFonts w:asciiTheme="majorHAnsi" w:eastAsiaTheme="majorEastAsia" w:hAnsiTheme="majorHAnsi" w:cstheme="majorBidi"/>
      <w:bCs/>
      <w:color w:val="3D946D"/>
      <w:sz w:val="48"/>
      <w:szCs w:val="48"/>
      <w:lang w:val="en-US"/>
    </w:rPr>
  </w:style>
  <w:style w:type="paragraph" w:styleId="Saturs1">
    <w:name w:val="toc 1"/>
    <w:basedOn w:val="Parasts"/>
    <w:next w:val="Parasts"/>
    <w:autoRedefine/>
    <w:uiPriority w:val="39"/>
    <w:unhideWhenUsed/>
    <w:rsid w:val="00FB28B2"/>
    <w:pPr>
      <w:tabs>
        <w:tab w:val="left" w:pos="567"/>
        <w:tab w:val="right" w:leader="dot" w:pos="9639"/>
      </w:tabs>
      <w:spacing w:after="100"/>
      <w:ind w:left="567" w:hanging="567"/>
    </w:pPr>
    <w:rPr>
      <w:b/>
      <w:noProof/>
    </w:rPr>
  </w:style>
  <w:style w:type="character" w:styleId="Hipersaite">
    <w:name w:val="Hyperlink"/>
    <w:basedOn w:val="Noklusjumarindkopasfonts"/>
    <w:uiPriority w:val="99"/>
    <w:unhideWhenUsed/>
    <w:rsid w:val="0060397E"/>
    <w:rPr>
      <w:color w:val="0B6F3E" w:themeColor="hyperlink"/>
      <w:u w:val="single"/>
    </w:rPr>
  </w:style>
  <w:style w:type="character" w:customStyle="1" w:styleId="Virsraksts2Rakstz">
    <w:name w:val="Virsraksts 2 Rakstz."/>
    <w:basedOn w:val="Noklusjumarindkopasfonts"/>
    <w:link w:val="Virsraksts2"/>
    <w:uiPriority w:val="9"/>
    <w:rsid w:val="007B4310"/>
    <w:rPr>
      <w:rFonts w:asciiTheme="majorHAnsi" w:eastAsiaTheme="majorEastAsia" w:hAnsiTheme="majorHAnsi" w:cstheme="majorBidi"/>
      <w:color w:val="3D946D"/>
      <w:sz w:val="36"/>
      <w:szCs w:val="36"/>
    </w:rPr>
  </w:style>
  <w:style w:type="paragraph" w:styleId="Saturs2">
    <w:name w:val="toc 2"/>
    <w:basedOn w:val="Parasts"/>
    <w:next w:val="Parasts"/>
    <w:autoRedefine/>
    <w:uiPriority w:val="39"/>
    <w:unhideWhenUsed/>
    <w:rsid w:val="00F5639C"/>
    <w:pPr>
      <w:tabs>
        <w:tab w:val="left" w:pos="567"/>
        <w:tab w:val="right" w:leader="dot" w:pos="9628"/>
      </w:tabs>
      <w:spacing w:after="100"/>
    </w:pPr>
    <w:rPr>
      <w:noProof/>
    </w:rPr>
  </w:style>
  <w:style w:type="character" w:customStyle="1" w:styleId="Virsraksts3Rakstz">
    <w:name w:val="Virsraksts 3 Rakstz."/>
    <w:basedOn w:val="Noklusjumarindkopasfonts"/>
    <w:link w:val="Virsraksts3"/>
    <w:uiPriority w:val="9"/>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5"/>
      </w:numPr>
    </w:pPr>
  </w:style>
  <w:style w:type="paragraph" w:customStyle="1" w:styleId="Indented">
    <w:name w:val="Indented"/>
    <w:basedOn w:val="Parasts"/>
    <w:link w:val="IndentedChar"/>
    <w:qFormat/>
    <w:rsid w:val="004309B9"/>
    <w:pPr>
      <w:ind w:left="851"/>
    </w:pPr>
  </w:style>
  <w:style w:type="character" w:customStyle="1" w:styleId="Virsraksts4Rakstz">
    <w:name w:val="Virsraksts 4 Rakstz."/>
    <w:basedOn w:val="Noklusjumarindkopasfonts"/>
    <w:link w:val="Virsraksts4"/>
    <w:uiPriority w:val="9"/>
    <w:rsid w:val="005B0A2B"/>
    <w:rPr>
      <w:rFonts w:asciiTheme="majorHAnsi" w:eastAsiaTheme="majorEastAsia" w:hAnsiTheme="majorHAnsi" w:cstheme="majorBidi"/>
      <w:bCs/>
      <w:iCs/>
      <w:color w:val="3D946D"/>
      <w:sz w:val="28"/>
      <w:szCs w:val="28"/>
    </w:rPr>
  </w:style>
  <w:style w:type="paragraph" w:styleId="Saturs3">
    <w:name w:val="toc 3"/>
    <w:basedOn w:val="Parasts"/>
    <w:next w:val="Parasts"/>
    <w:autoRedefine/>
    <w:uiPriority w:val="39"/>
    <w:unhideWhenUsed/>
    <w:rsid w:val="0083069A"/>
    <w:pPr>
      <w:tabs>
        <w:tab w:val="left" w:pos="1418"/>
        <w:tab w:val="right" w:leader="dot" w:pos="9628"/>
      </w:tabs>
      <w:spacing w:after="100"/>
      <w:ind w:left="567"/>
    </w:pPr>
    <w:rPr>
      <w:noProof/>
    </w:rPr>
  </w:style>
  <w:style w:type="character" w:customStyle="1" w:styleId="IndentedChar">
    <w:name w:val="Indented Char"/>
    <w:basedOn w:val="Noklusjumarindkopasfonts"/>
    <w:link w:val="Indented"/>
    <w:rsid w:val="004309B9"/>
    <w:rPr>
      <w:sz w:val="20"/>
      <w:szCs w:val="20"/>
    </w:rPr>
  </w:style>
  <w:style w:type="paragraph" w:styleId="Saturs4">
    <w:name w:val="toc 4"/>
    <w:basedOn w:val="Parasts"/>
    <w:next w:val="Parasts"/>
    <w:autoRedefine/>
    <w:uiPriority w:val="39"/>
    <w:unhideWhenUsed/>
    <w:rsid w:val="0083069A"/>
    <w:pPr>
      <w:tabs>
        <w:tab w:val="left" w:pos="1701"/>
        <w:tab w:val="right" w:leader="dot" w:pos="9628"/>
      </w:tabs>
      <w:spacing w:after="100"/>
      <w:ind w:left="851"/>
    </w:pPr>
    <w:rPr>
      <w:i/>
      <w:noProof/>
      <w:sz w:val="18"/>
      <w:szCs w:val="18"/>
    </w:rPr>
  </w:style>
  <w:style w:type="paragraph" w:styleId="Sarakstarindkopa">
    <w:name w:val="List Paragraph"/>
    <w:aliases w:val="Bullet"/>
    <w:basedOn w:val="Parasts"/>
    <w:uiPriority w:val="34"/>
    <w:qFormat/>
    <w:rsid w:val="004309B9"/>
    <w:pPr>
      <w:numPr>
        <w:numId w:val="7"/>
      </w:numPr>
      <w:ind w:left="426" w:hanging="426"/>
      <w:contextualSpacing/>
    </w:pPr>
  </w:style>
  <w:style w:type="paragraph" w:customStyle="1" w:styleId="IntentedBullet">
    <w:name w:val="Intented Bullet"/>
    <w:basedOn w:val="Indented"/>
    <w:link w:val="IntentedBulletChar"/>
    <w:qFormat/>
    <w:rsid w:val="004309B9"/>
    <w:pPr>
      <w:numPr>
        <w:numId w:val="10"/>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Virsraksts4"/>
    <w:link w:val="SubheadingChar"/>
    <w:qFormat/>
    <w:rsid w:val="00F5639C"/>
    <w:pPr>
      <w:numPr>
        <w:ilvl w:val="0"/>
        <w:numId w:val="0"/>
      </w:numPr>
    </w:pPr>
    <w:rPr>
      <w:color w:val="8AB059"/>
    </w:rPr>
  </w:style>
  <w:style w:type="character" w:customStyle="1" w:styleId="SubheadingChar">
    <w:name w:val="Sub heading Char"/>
    <w:basedOn w:val="Virsraksts4Rakstz"/>
    <w:link w:val="Subheading"/>
    <w:rsid w:val="00F5639C"/>
    <w:rPr>
      <w:rFonts w:asciiTheme="majorHAnsi" w:eastAsiaTheme="majorEastAsia" w:hAnsiTheme="majorHAnsi" w:cstheme="majorBidi"/>
      <w:bCs/>
      <w:iCs/>
      <w:color w:val="8AB059"/>
      <w:sz w:val="28"/>
      <w:szCs w:val="28"/>
    </w:rPr>
  </w:style>
  <w:style w:type="table" w:styleId="Reatabula">
    <w:name w:val="Table Grid"/>
    <w:basedOn w:val="Parastatabula"/>
    <w:uiPriority w:val="59"/>
    <w:rsid w:val="0098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Parasts"/>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Noklusjumarindkopasfonts"/>
    <w:link w:val="Table"/>
    <w:rsid w:val="007C5EAE"/>
    <w:rPr>
      <w:sz w:val="18"/>
      <w:szCs w:val="18"/>
    </w:rPr>
  </w:style>
  <w:style w:type="paragraph" w:customStyle="1" w:styleId="TableBullet">
    <w:name w:val="Table Bullet"/>
    <w:basedOn w:val="Table"/>
    <w:link w:val="TableBulletChar"/>
    <w:qFormat/>
    <w:rsid w:val="007C5EAE"/>
    <w:pPr>
      <w:numPr>
        <w:numId w:val="12"/>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Rindiasnumurs">
    <w:name w:val="line number"/>
    <w:basedOn w:val="Noklusjumarindkopasfonts"/>
    <w:uiPriority w:val="99"/>
    <w:semiHidden/>
    <w:unhideWhenUsed/>
    <w:rsid w:val="00912623"/>
  </w:style>
  <w:style w:type="character" w:customStyle="1" w:styleId="Virsraksts5Rakstz">
    <w:name w:val="Virsraksts 5 Rakstz."/>
    <w:basedOn w:val="Noklusjumarindkopasfonts"/>
    <w:link w:val="Virsraksts5"/>
    <w:uiPriority w:val="9"/>
    <w:rsid w:val="00360FA4"/>
    <w:rPr>
      <w:rFonts w:asciiTheme="majorHAnsi" w:eastAsiaTheme="majorEastAsia" w:hAnsiTheme="majorHAnsi" w:cstheme="majorBidi"/>
      <w:color w:val="92BDA9" w:themeColor="accent1" w:themeShade="BF"/>
      <w:sz w:val="20"/>
      <w:szCs w:val="20"/>
    </w:rPr>
  </w:style>
  <w:style w:type="character" w:customStyle="1" w:styleId="UnresolvedMention1">
    <w:name w:val="Unresolved Mention1"/>
    <w:basedOn w:val="Noklusjumarindkopasfonts"/>
    <w:uiPriority w:val="99"/>
    <w:rsid w:val="00493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register.metsad.ee" TargetMode="External"/><Relationship Id="rId26" Type="http://schemas.openxmlformats.org/officeDocument/2006/relationships/hyperlink" Target="https://www.daba.gov.lv/public/lat/dati1/dabas_datu_parvaldibas_sistema_ozols/" TargetMode="External"/><Relationship Id="rId3" Type="http://schemas.openxmlformats.org/officeDocument/2006/relationships/styles" Target="styles.xml"/><Relationship Id="rId21" Type="http://schemas.openxmlformats.org/officeDocument/2006/relationships/hyperlink" Target="http://www.geoportal.l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daba.gov.lv/public/lat/dati1/dabas_datu_parvaldibas_sistema_ozols/" TargetMode="External"/><Relationship Id="rId25" Type="http://schemas.openxmlformats.org/officeDocument/2006/relationships/hyperlink" Target="http://latbio.lv/MBI/search.db"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ta.lv/eu/lv/sectionpost/aktualitates/" TargetMode="External"/><Relationship Id="rId20" Type="http://schemas.openxmlformats.org/officeDocument/2006/relationships/hyperlink" Target="https://hiiepaik.maps.arcgis.com/apps/webappviewer/index.html?id=09558607d1dd4c07acc46c338b2196ac" TargetMode="External"/><Relationship Id="rId29" Type="http://schemas.openxmlformats.org/officeDocument/2006/relationships/hyperlink" Target="http://latbio.lv/MBI/search_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daba.gov.lv/public/lat/dati1/dabas_datu_parvaldibas_sistema_ozols/"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sbp-cert.org/documents/standards-documents/risk-assessments/" TargetMode="External"/><Relationship Id="rId23" Type="http://schemas.openxmlformats.org/officeDocument/2006/relationships/hyperlink" Target="http://www.latbio.lv/MBI/" TargetMode="External"/><Relationship Id="rId28"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hyperlink" Target="https://ee.fsc.org/ee-ee/fsc-sertimine/kontrollitud-puit/vaeaeriselupaigad"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bp-cert.org" TargetMode="External"/><Relationship Id="rId14" Type="http://schemas.openxmlformats.org/officeDocument/2006/relationships/hyperlink" Target="https://sbp-cert.org/documents/standards-documents/standards/" TargetMode="External"/><Relationship Id="rId22" Type="http://schemas.openxmlformats.org/officeDocument/2006/relationships/hyperlink" Target="http://www.natura2000info.lt" TargetMode="External"/><Relationship Id="rId27" Type="http://schemas.openxmlformats.org/officeDocument/2006/relationships/chart" Target="charts/chart1.xml"/><Relationship Id="rId30" Type="http://schemas.openxmlformats.org/officeDocument/2006/relationships/hyperlink" Target="https://www.daba.gov.lv/public/lat/dati1/dabas_datu_parvaldibas_sistema_ozols/" TargetMode="External"/><Relationship Id="rId8" Type="http://schemas.openxmlformats.org/officeDocument/2006/relationships/hyperlink" Target="http://www.sbp-cert.or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hurley.SWITCH\Desktop\SBP.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s.pata.lan\Profili$\vita.rudzite\SBP\2019\Biotopu%20anketu%20apkopojum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Biotopu anketu apkopojums 2018</a:t>
            </a:r>
          </a:p>
          <a:p>
            <a:pPr>
              <a:defRPr/>
            </a:pPr>
            <a:r>
              <a:rPr lang="lv-LV"/>
              <a:t>PATA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'2018'!$C$1</c:f>
              <c:strCache>
                <c:ptCount val="1"/>
                <c:pt idx="0">
                  <c:v>nogabalu skaits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'2018'!$B$2:$B$11</c:f>
              <c:strCache>
                <c:ptCount val="10"/>
                <c:pt idx="0">
                  <c:v>1</c:v>
                </c:pt>
                <c:pt idx="1">
                  <c:v>2</c:v>
                </c:pt>
                <c:pt idx="2">
                  <c:v>3</c:v>
                </c:pt>
                <c:pt idx="3">
                  <c:v>4</c:v>
                </c:pt>
                <c:pt idx="4">
                  <c:v>5</c:v>
                </c:pt>
                <c:pt idx="5">
                  <c:v>6</c:v>
                </c:pt>
                <c:pt idx="6">
                  <c:v>7</c:v>
                </c:pt>
                <c:pt idx="7">
                  <c:v>8</c:v>
                </c:pt>
                <c:pt idx="8">
                  <c:v>9</c:v>
                </c:pt>
                <c:pt idx="9">
                  <c:v>&gt;10</c:v>
                </c:pt>
              </c:strCache>
            </c:strRef>
          </c:cat>
          <c:val>
            <c:numRef>
              <c:f>'2018'!$C$2:$C$11</c:f>
              <c:numCache>
                <c:formatCode>General</c:formatCode>
                <c:ptCount val="10"/>
                <c:pt idx="0">
                  <c:v>4</c:v>
                </c:pt>
                <c:pt idx="1">
                  <c:v>16</c:v>
                </c:pt>
                <c:pt idx="2">
                  <c:v>16</c:v>
                </c:pt>
                <c:pt idx="3">
                  <c:v>28</c:v>
                </c:pt>
                <c:pt idx="4">
                  <c:v>32</c:v>
                </c:pt>
                <c:pt idx="5">
                  <c:v>25</c:v>
                </c:pt>
                <c:pt idx="6">
                  <c:v>32</c:v>
                </c:pt>
                <c:pt idx="7">
                  <c:v>24</c:v>
                </c:pt>
                <c:pt idx="8">
                  <c:v>6</c:v>
                </c:pt>
                <c:pt idx="9">
                  <c:v>14</c:v>
                </c:pt>
              </c:numCache>
            </c:numRef>
          </c:val>
          <c:extLst>
            <c:ext xmlns:c16="http://schemas.microsoft.com/office/drawing/2014/chart" uri="{C3380CC4-5D6E-409C-BE32-E72D297353CC}">
              <c16:uniqueId val="{00000000-D93A-4E00-9A31-9822E593BCDB}"/>
            </c:ext>
          </c:extLst>
        </c:ser>
        <c:ser>
          <c:idx val="1"/>
          <c:order val="1"/>
          <c:tx>
            <c:strRef>
              <c:f>'2018'!$D$1</c:f>
              <c:strCache>
                <c:ptCount val="1"/>
                <c:pt idx="0">
                  <c:v>%</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'2018'!$B$2:$B$11</c:f>
              <c:strCache>
                <c:ptCount val="10"/>
                <c:pt idx="0">
                  <c:v>1</c:v>
                </c:pt>
                <c:pt idx="1">
                  <c:v>2</c:v>
                </c:pt>
                <c:pt idx="2">
                  <c:v>3</c:v>
                </c:pt>
                <c:pt idx="3">
                  <c:v>4</c:v>
                </c:pt>
                <c:pt idx="4">
                  <c:v>5</c:v>
                </c:pt>
                <c:pt idx="5">
                  <c:v>6</c:v>
                </c:pt>
                <c:pt idx="6">
                  <c:v>7</c:v>
                </c:pt>
                <c:pt idx="7">
                  <c:v>8</c:v>
                </c:pt>
                <c:pt idx="8">
                  <c:v>9</c:v>
                </c:pt>
                <c:pt idx="9">
                  <c:v>&gt;10</c:v>
                </c:pt>
              </c:strCache>
            </c:strRef>
          </c:cat>
          <c:val>
            <c:numRef>
              <c:f>'2018'!$D$2:$D$11</c:f>
              <c:numCache>
                <c:formatCode>0</c:formatCode>
                <c:ptCount val="10"/>
                <c:pt idx="0">
                  <c:v>2.030456852791878</c:v>
                </c:pt>
                <c:pt idx="1">
                  <c:v>8.1218274111675122</c:v>
                </c:pt>
                <c:pt idx="2">
                  <c:v>8.1218274111675122</c:v>
                </c:pt>
                <c:pt idx="3">
                  <c:v>14.213197969543147</c:v>
                </c:pt>
                <c:pt idx="4">
                  <c:v>16.243654822335024</c:v>
                </c:pt>
                <c:pt idx="5">
                  <c:v>12.690355329949238</c:v>
                </c:pt>
                <c:pt idx="6">
                  <c:v>16.243654822335024</c:v>
                </c:pt>
                <c:pt idx="7">
                  <c:v>12.182741116751268</c:v>
                </c:pt>
                <c:pt idx="8">
                  <c:v>3.0456852791878171</c:v>
                </c:pt>
                <c:pt idx="9">
                  <c:v>7.1065989847715736</c:v>
                </c:pt>
              </c:numCache>
            </c:numRef>
          </c:val>
          <c:extLst>
            <c:ext xmlns:c16="http://schemas.microsoft.com/office/drawing/2014/chart" uri="{C3380CC4-5D6E-409C-BE32-E72D297353CC}">
              <c16:uniqueId val="{00000001-D93A-4E00-9A31-9822E593BCDB}"/>
            </c:ext>
          </c:extLst>
        </c:ser>
        <c:dLbls>
          <c:dLblPos val="outEnd"/>
          <c:showLegendKey val="0"/>
          <c:showVal val="1"/>
          <c:showCatName val="0"/>
          <c:showSerName val="0"/>
          <c:showPercent val="0"/>
          <c:showBubbleSize val="0"/>
        </c:dLbls>
        <c:gapWidth val="219"/>
        <c:overlap val="-27"/>
        <c:axId val="1641293103"/>
        <c:axId val="1546622703"/>
      </c:barChart>
      <c:catAx>
        <c:axId val="16412931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biotopu anketas punkti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46622703"/>
        <c:crosses val="autoZero"/>
        <c:auto val="1"/>
        <c:lblAlgn val="ctr"/>
        <c:lblOffset val="100"/>
        <c:noMultiLvlLbl val="0"/>
      </c:catAx>
      <c:valAx>
        <c:axId val="15466227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skaitliskā vērtība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412931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latin typeface="Times New Roman" panose="02020603050405020304" pitchFamily="18" charset="0"/>
                <a:cs typeface="Times New Roman" panose="02020603050405020304" pitchFamily="18" charset="0"/>
              </a:rPr>
              <a:t>Biotopu anketu apkopojums 2019</a:t>
            </a:r>
          </a:p>
          <a:p>
            <a:pPr>
              <a:defRPr/>
            </a:pPr>
            <a:r>
              <a:rPr lang="lv-LV">
                <a:latin typeface="Times New Roman" panose="02020603050405020304" pitchFamily="18" charset="0"/>
                <a:cs typeface="Times New Roman" panose="02020603050405020304" pitchFamily="18" charset="0"/>
              </a:rPr>
              <a:t>PATA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'2019'!$C$1</c:f>
              <c:strCache>
                <c:ptCount val="1"/>
                <c:pt idx="0">
                  <c:v>nogabalu skaits</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'2019'!$B$2:$B$11</c:f>
              <c:strCache>
                <c:ptCount val="10"/>
                <c:pt idx="0">
                  <c:v>1</c:v>
                </c:pt>
                <c:pt idx="1">
                  <c:v>2</c:v>
                </c:pt>
                <c:pt idx="2">
                  <c:v>3</c:v>
                </c:pt>
                <c:pt idx="3">
                  <c:v>4</c:v>
                </c:pt>
                <c:pt idx="4">
                  <c:v>5</c:v>
                </c:pt>
                <c:pt idx="5">
                  <c:v>6</c:v>
                </c:pt>
                <c:pt idx="6">
                  <c:v>7</c:v>
                </c:pt>
                <c:pt idx="7">
                  <c:v>8</c:v>
                </c:pt>
                <c:pt idx="8">
                  <c:v>9</c:v>
                </c:pt>
                <c:pt idx="9">
                  <c:v>&gt;10</c:v>
                </c:pt>
              </c:strCache>
            </c:strRef>
          </c:cat>
          <c:val>
            <c:numRef>
              <c:f>'2019'!$C$2:$C$11</c:f>
              <c:numCache>
                <c:formatCode>General</c:formatCode>
                <c:ptCount val="10"/>
                <c:pt idx="0">
                  <c:v>4</c:v>
                </c:pt>
                <c:pt idx="1">
                  <c:v>8</c:v>
                </c:pt>
                <c:pt idx="2">
                  <c:v>8</c:v>
                </c:pt>
                <c:pt idx="3">
                  <c:v>28</c:v>
                </c:pt>
                <c:pt idx="4">
                  <c:v>43</c:v>
                </c:pt>
                <c:pt idx="5">
                  <c:v>35</c:v>
                </c:pt>
                <c:pt idx="6">
                  <c:v>25</c:v>
                </c:pt>
                <c:pt idx="7">
                  <c:v>29</c:v>
                </c:pt>
                <c:pt idx="8">
                  <c:v>7</c:v>
                </c:pt>
                <c:pt idx="9">
                  <c:v>19</c:v>
                </c:pt>
              </c:numCache>
            </c:numRef>
          </c:val>
          <c:extLst>
            <c:ext xmlns:c16="http://schemas.microsoft.com/office/drawing/2014/chart" uri="{C3380CC4-5D6E-409C-BE32-E72D297353CC}">
              <c16:uniqueId val="{00000000-0219-45FF-9205-FB9AC2641793}"/>
            </c:ext>
          </c:extLst>
        </c:ser>
        <c:ser>
          <c:idx val="1"/>
          <c:order val="1"/>
          <c:tx>
            <c:strRef>
              <c:f>'2019'!$D$1</c:f>
              <c:strCache>
                <c:ptCount val="1"/>
                <c:pt idx="0">
                  <c: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'2019'!$B$2:$B$11</c:f>
              <c:strCache>
                <c:ptCount val="10"/>
                <c:pt idx="0">
                  <c:v>1</c:v>
                </c:pt>
                <c:pt idx="1">
                  <c:v>2</c:v>
                </c:pt>
                <c:pt idx="2">
                  <c:v>3</c:v>
                </c:pt>
                <c:pt idx="3">
                  <c:v>4</c:v>
                </c:pt>
                <c:pt idx="4">
                  <c:v>5</c:v>
                </c:pt>
                <c:pt idx="5">
                  <c:v>6</c:v>
                </c:pt>
                <c:pt idx="6">
                  <c:v>7</c:v>
                </c:pt>
                <c:pt idx="7">
                  <c:v>8</c:v>
                </c:pt>
                <c:pt idx="8">
                  <c:v>9</c:v>
                </c:pt>
                <c:pt idx="9">
                  <c:v>&gt;10</c:v>
                </c:pt>
              </c:strCache>
            </c:strRef>
          </c:cat>
          <c:val>
            <c:numRef>
              <c:f>'2019'!$D$2:$D$11</c:f>
              <c:numCache>
                <c:formatCode>0</c:formatCode>
                <c:ptCount val="10"/>
                <c:pt idx="0">
                  <c:v>1.941747572815534</c:v>
                </c:pt>
                <c:pt idx="1">
                  <c:v>3.883495145631068</c:v>
                </c:pt>
                <c:pt idx="2">
                  <c:v>3.883495145631068</c:v>
                </c:pt>
                <c:pt idx="3">
                  <c:v>13.592233009708737</c:v>
                </c:pt>
                <c:pt idx="4">
                  <c:v>20.873786407766989</c:v>
                </c:pt>
                <c:pt idx="5">
                  <c:v>16.990291262135923</c:v>
                </c:pt>
                <c:pt idx="6">
                  <c:v>12.135922330097088</c:v>
                </c:pt>
                <c:pt idx="7">
                  <c:v>14.077669902912621</c:v>
                </c:pt>
                <c:pt idx="8">
                  <c:v>3.3980582524271843</c:v>
                </c:pt>
                <c:pt idx="9">
                  <c:v>9.2233009708737868</c:v>
                </c:pt>
              </c:numCache>
            </c:numRef>
          </c:val>
          <c:extLst>
            <c:ext xmlns:c16="http://schemas.microsoft.com/office/drawing/2014/chart" uri="{C3380CC4-5D6E-409C-BE32-E72D297353CC}">
              <c16:uniqueId val="{00000001-0219-45FF-9205-FB9AC2641793}"/>
            </c:ext>
          </c:extLst>
        </c:ser>
        <c:dLbls>
          <c:showLegendKey val="0"/>
          <c:showVal val="0"/>
          <c:showCatName val="0"/>
          <c:showSerName val="0"/>
          <c:showPercent val="0"/>
          <c:showBubbleSize val="0"/>
        </c:dLbls>
        <c:gapWidth val="219"/>
        <c:overlap val="-27"/>
        <c:axId val="1679632320"/>
        <c:axId val="1642737872"/>
      </c:barChart>
      <c:catAx>
        <c:axId val="1679632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latin typeface="Times New Roman" panose="02020603050405020304" pitchFamily="18" charset="0"/>
                    <a:cs typeface="Times New Roman" panose="02020603050405020304" pitchFamily="18" charset="0"/>
                  </a:rPr>
                  <a:t>biotopu anketu punkti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42737872"/>
        <c:crosses val="autoZero"/>
        <c:auto val="1"/>
        <c:lblAlgn val="ctr"/>
        <c:lblOffset val="100"/>
        <c:noMultiLvlLbl val="0"/>
      </c:catAx>
      <c:valAx>
        <c:axId val="1642737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latin typeface="Times New Roman" panose="02020603050405020304" pitchFamily="18" charset="0"/>
                    <a:cs typeface="Times New Roman" panose="02020603050405020304" pitchFamily="18" charset="0"/>
                  </a:rPr>
                  <a:t>skaitliskā vērtība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79632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10341-809E-4D79-88FD-D8D4E5A8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SBP</Template>
  <TotalTime>433</TotalTime>
  <Pages>29</Pages>
  <Words>27235</Words>
  <Characters>15525</Characters>
  <Application>Microsoft Office Word</Application>
  <DocSecurity>0</DocSecurity>
  <Lines>129</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Hurley</dc:creator>
  <cp:lastModifiedBy>Vita Rudzīte</cp:lastModifiedBy>
  <cp:revision>13</cp:revision>
  <cp:lastPrinted>2020-03-03T07:32:00Z</cp:lastPrinted>
  <dcterms:created xsi:type="dcterms:W3CDTF">2020-01-30T11:42:00Z</dcterms:created>
  <dcterms:modified xsi:type="dcterms:W3CDTF">2020-03-03T07:32:00Z</dcterms:modified>
</cp:coreProperties>
</file>